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764B1" w14:textId="77777777" w:rsidR="00522334" w:rsidRDefault="00522334" w:rsidP="00522334">
      <w:pPr>
        <w:pStyle w:val="Nadpis2"/>
      </w:pPr>
      <w:bookmarkStart w:id="0" w:name="_Toc211009931"/>
      <w:r>
        <w:t>Další vlastnosti světla</w:t>
      </w:r>
      <w:r w:rsidR="00847778">
        <w:t xml:space="preserve"> </w:t>
      </w:r>
      <w:r w:rsidR="00165EF2">
        <w:t>(kvantové</w:t>
      </w:r>
      <w:r w:rsidR="00A843E0">
        <w:t xml:space="preserve"> vlastnosti světla</w:t>
      </w:r>
      <w:r w:rsidR="00165EF2">
        <w:t>)</w:t>
      </w:r>
      <w:bookmarkEnd w:id="0"/>
    </w:p>
    <w:p w14:paraId="006ECB13" w14:textId="77777777" w:rsidR="00CC0B26" w:rsidRDefault="00CC0B26" w:rsidP="00CC0B26">
      <w:bookmarkStart w:id="1" w:name="_Toc211009932"/>
      <w:r>
        <w:t>Doposud jsme se seznamovali s tím, že světlo je elektromagnetické vlnění s vlnovou délkou v určitém rozmezí. Má tedy vlastnosti obdobné jiným elektromagnetickým vlněním a v mnohém ho můžeme přirovnat i k mechanickému vlnění</w:t>
      </w:r>
      <w:r w:rsidR="00205F50">
        <w:t>,</w:t>
      </w:r>
      <w:r>
        <w:t xml:space="preserve"> např</w:t>
      </w:r>
      <w:r w:rsidR="00205F50">
        <w:t>íklad k vlnění</w:t>
      </w:r>
      <w:r>
        <w:t xml:space="preserve"> vody na vodní hladině.</w:t>
      </w:r>
      <w:r w:rsidR="00205F50">
        <w:t xml:space="preserve"> Nyní se seznámíme s určitými jevy, které ukazují, že podstata světla je složitější. Pokud dochází k vzájemnému působení (interakci) monofrekvenčního světla a jednotlivých elektronů, ukazuje se, že předávaná energie při jedné interakci má vždy určitou hodnotu, která souvisí s frekvencí světla. Jako kdyby bylo dopadající světlo rozděleno na určité „díly“ respektive „porce“ energie. Těmto energetickým dílům říkáme kvanta respektive fotony.</w:t>
      </w:r>
    </w:p>
    <w:p w14:paraId="35714A2E" w14:textId="77777777" w:rsidR="00847778" w:rsidRDefault="005767E8" w:rsidP="00522334">
      <w:pPr>
        <w:pStyle w:val="Nadpis3"/>
      </w:pPr>
      <w:r>
        <w:t>Fotoelektrický jev</w:t>
      </w:r>
      <w:bookmarkEnd w:id="1"/>
    </w:p>
    <w:p w14:paraId="56379BFB" w14:textId="4420B06D" w:rsidR="003F2479" w:rsidRDefault="005767E8" w:rsidP="00E819DD">
      <w:r>
        <w:t xml:space="preserve">Dopad světla na povrch kovu může za určitých podmínek uvolnit z kovu elektrony. O tom, zda dojde k uvolnění elektronů, nerozhoduje intenzita záření, ale jeho frekvence. Tento poznatek není možné vysvětlit, jestliže považujeme světlo za elektromagnetické vlnění! Vysvětlení podává Einsteinova teorie fotoelektrického jevu (A. Einstein, M. Planck 1905). Podle této teorie se záření o </w:t>
      </w:r>
      <w:r w:rsidRPr="0062586E">
        <w:t xml:space="preserve">frekvenci </w:t>
      </w:r>
      <w:r w:rsidRPr="0062586E">
        <w:rPr>
          <w:i/>
        </w:rPr>
        <w:t>f</w:t>
      </w:r>
      <w:r w:rsidRPr="0062586E">
        <w:t xml:space="preserve"> skládá</w:t>
      </w:r>
      <w:r>
        <w:t xml:space="preserve"> z</w:t>
      </w:r>
      <w:r w:rsidR="003F2479">
        <w:t> </w:t>
      </w:r>
      <w:r>
        <w:t>částic</w:t>
      </w:r>
      <w:r w:rsidR="003F2479">
        <w:t>, nazývaných fotony,</w:t>
      </w:r>
      <w:r>
        <w:t xml:space="preserve"> o energii </w:t>
      </w:r>
      <w:r w:rsidRPr="00A843E0">
        <w:rPr>
          <w:i/>
        </w:rPr>
        <w:t>E=h.f</w:t>
      </w:r>
      <w:r>
        <w:t xml:space="preserve"> </w:t>
      </w:r>
      <w:r w:rsidR="00A843E0">
        <w:t xml:space="preserve"> </w:t>
      </w:r>
      <w:r>
        <w:t>(</w:t>
      </w:r>
      <w:r w:rsidRPr="00A843E0">
        <w:rPr>
          <w:i/>
        </w:rPr>
        <w:t>h</w:t>
      </w:r>
      <w:r w:rsidR="00A843E0">
        <w:rPr>
          <w:i/>
        </w:rPr>
        <w:t xml:space="preserve"> </w:t>
      </w:r>
      <w:r>
        <w:t>=</w:t>
      </w:r>
      <w:r w:rsidR="00A843E0">
        <w:t xml:space="preserve"> </w:t>
      </w:r>
      <w:r>
        <w:t>6,6</w:t>
      </w:r>
      <w:r w:rsidR="00960D7A">
        <w:t>26·</w:t>
      </w:r>
      <w:r>
        <w:t>10</w:t>
      </w:r>
      <w:r>
        <w:rPr>
          <w:vertAlign w:val="superscript"/>
        </w:rPr>
        <w:t>-34</w:t>
      </w:r>
      <w:r>
        <w:t>J</w:t>
      </w:r>
      <w:r w:rsidR="00960D7A">
        <w:t>·</w:t>
      </w:r>
      <w:r>
        <w:t>s je tzv. Planckova konstanta). Jednomu elektronu může předat energ</w:t>
      </w:r>
      <w:r w:rsidR="00565917">
        <w:t>ii pouze jeden foton.</w:t>
      </w:r>
      <w:r>
        <w:t xml:space="preserve"> </w:t>
      </w:r>
      <w:r w:rsidR="00565917">
        <w:t>P</w:t>
      </w:r>
      <w:r>
        <w:t>roto o tom, zda dojde k uvolňování e</w:t>
      </w:r>
      <w:r w:rsidR="003F2479">
        <w:t>lektronů,</w:t>
      </w:r>
      <w:r>
        <w:t xml:space="preserve"> nerozhoduje počet dopadajících fotonů (intenzita </w:t>
      </w:r>
      <w:r w:rsidRPr="0062586E">
        <w:t>záření)</w:t>
      </w:r>
      <w:r w:rsidR="0062586E" w:rsidRPr="0062586E">
        <w:t>,</w:t>
      </w:r>
      <w:r w:rsidRPr="0062586E">
        <w:t xml:space="preserve"> ale</w:t>
      </w:r>
      <w:r>
        <w:t xml:space="preserve"> energie jednotlivých fotonů (frekvence záření). </w:t>
      </w:r>
      <w:r w:rsidR="003F2479">
        <w:t xml:space="preserve">Předaná energie je využita na uvolnění elektronu z kovu (tzv. výstupní práce) a případný zbytek odnáší elektron jako svoji kinetickou energii. Tuto teorii vystihuje rovnice: Energie fotonu = Výstupní práce + Kinetická energie </w:t>
      </w:r>
      <w:r w:rsidR="003F2479" w:rsidRPr="0062586E">
        <w:t>elektronu</w:t>
      </w:r>
      <w:r w:rsidR="0062586E" w:rsidRPr="0062586E">
        <w:t>,</w:t>
      </w:r>
      <w:r w:rsidR="003F2479" w:rsidRPr="0062586E">
        <w:t xml:space="preserve"> tj</w:t>
      </w:r>
      <w:r w:rsidR="003F2479">
        <w:t xml:space="preserve">. </w:t>
      </w:r>
      <m:oMath>
        <m:r>
          <w:rPr>
            <w:rFonts w:ascii="Cambria Math"/>
          </w:rPr>
          <m:t>h</m:t>
        </m:r>
        <m:r>
          <w:rPr>
            <w:rFonts w:ascii="Cambria Math"/>
          </w:rPr>
          <m:t>f=A+</m:t>
        </m:r>
        <m:f>
          <m:fPr>
            <m:ctrlPr>
              <w:rPr>
                <w:rFonts w:ascii="Cambria Math" w:hAnsi="Cambria Math"/>
                <w:i/>
              </w:rPr>
            </m:ctrlPr>
          </m:fPr>
          <m:num>
            <m:r>
              <w:rPr>
                <w:rFonts w:ascii="Cambria Math"/>
              </w:rPr>
              <m:t>1</m:t>
            </m:r>
          </m:num>
          <m:den>
            <m:r>
              <w:rPr>
                <w:rFonts w:ascii="Cambria Math"/>
              </w:rPr>
              <m:t>2</m:t>
            </m:r>
          </m:den>
        </m:f>
        <m:r>
          <w:rPr>
            <w:rFonts w:ascii="Cambria Math"/>
          </w:rPr>
          <m:t>m</m:t>
        </m:r>
        <m:sSup>
          <m:sSupPr>
            <m:ctrlPr>
              <w:rPr>
                <w:rFonts w:ascii="Cambria Math" w:hAnsi="Cambria Math"/>
                <w:i/>
              </w:rPr>
            </m:ctrlPr>
          </m:sSupPr>
          <m:e>
            <m:r>
              <w:rPr>
                <w:rFonts w:ascii="Cambria Math"/>
              </w:rPr>
              <m:t>v</m:t>
            </m:r>
          </m:e>
          <m:sup>
            <m:r>
              <w:rPr>
                <w:rFonts w:ascii="Cambria Math"/>
              </w:rPr>
              <m:t>2</m:t>
            </m:r>
          </m:sup>
        </m:sSup>
      </m:oMath>
      <w:r w:rsidR="003F2479">
        <w:t xml:space="preserve">.Velikost výstupní práce závisí na druhu kovu. Pokud dopadající světlo má frekvenci nižší než </w:t>
      </w:r>
      <m:oMath>
        <m:sSub>
          <m:sSubPr>
            <m:ctrlPr>
              <w:rPr>
                <w:rFonts w:ascii="Cambria Math" w:hAnsi="Cambria Math"/>
                <w:i/>
              </w:rPr>
            </m:ctrlPr>
          </m:sSubPr>
          <m:e>
            <m:r>
              <w:rPr>
                <w:rFonts w:ascii="Cambria Math"/>
              </w:rPr>
              <m:t>f</m:t>
            </m:r>
          </m:e>
          <m:sub>
            <m:r>
              <w:rPr>
                <w:rFonts w:ascii="Cambria Math"/>
              </w:rPr>
              <m:t>0</m:t>
            </m:r>
          </m:sub>
        </m:sSub>
        <m:r>
          <w:rPr>
            <w:rFonts w:ascii="Cambria Math"/>
          </w:rPr>
          <m:t>=</m:t>
        </m:r>
        <m:f>
          <m:fPr>
            <m:ctrlPr>
              <w:rPr>
                <w:rFonts w:ascii="Cambria Math" w:hAnsi="Cambria Math"/>
                <w:i/>
              </w:rPr>
            </m:ctrlPr>
          </m:fPr>
          <m:num>
            <m:r>
              <w:rPr>
                <w:rFonts w:ascii="Cambria Math"/>
              </w:rPr>
              <m:t>A</m:t>
            </m:r>
          </m:num>
          <m:den>
            <m:r>
              <w:rPr>
                <w:rFonts w:ascii="Cambria Math"/>
              </w:rPr>
              <m:t>h</m:t>
            </m:r>
          </m:den>
        </m:f>
      </m:oMath>
      <w:r w:rsidR="0062586E" w:rsidRPr="0062586E">
        <w:t xml:space="preserve"> </w:t>
      </w:r>
      <w:r w:rsidR="003F2479" w:rsidRPr="0062586E">
        <w:t>k fotoefektu</w:t>
      </w:r>
      <w:r w:rsidR="003F2479">
        <w:t xml:space="preserve"> nedojde. </w:t>
      </w:r>
    </w:p>
    <w:p w14:paraId="2E67C640" w14:textId="77777777" w:rsidR="003F2479" w:rsidRDefault="003F2479" w:rsidP="00B21C11"/>
    <w:p w14:paraId="5E2D4576" w14:textId="77777777" w:rsidR="00565917" w:rsidRDefault="003F2479" w:rsidP="00B21C11">
      <w:r>
        <w:t xml:space="preserve">Výše byla popisována situace, kdy jsou elektrony uvolňovány z kovu. Přesnější označení tohoto jevu je vnější fotoefekt. Kromě vnějšího existuje i vnitřní fotoefekt, kdy jsou elektrony uvolňovány z vazby </w:t>
      </w:r>
      <w:r w:rsidR="00565917">
        <w:t>k atomu a p</w:t>
      </w:r>
      <w:r w:rsidR="00A843E0">
        <w:t>o</w:t>
      </w:r>
      <w:r w:rsidR="00565917">
        <w:t xml:space="preserve"> uvolnění se stávají volně pohyblivými (</w:t>
      </w:r>
      <w:r w:rsidR="00565917" w:rsidRPr="0062586E">
        <w:t>vodivými)</w:t>
      </w:r>
      <w:r w:rsidR="0062586E" w:rsidRPr="0062586E">
        <w:t>,</w:t>
      </w:r>
      <w:r w:rsidR="00565917" w:rsidRPr="0062586E">
        <w:t xml:space="preserve"> aniž by opustily</w:t>
      </w:r>
      <w:r w:rsidR="00565917">
        <w:t xml:space="preserve"> daný materiál. Vnitřní fotoefekt je významný hlavně u polovodičů. Některé polovodiče v jeho důsledku mění svoji vodivost v závislosti na osvětlení. Na tomto principu lze konstruovat měřiče osvětlení (automatické spínání světel, nastavení expoziční doby při fotografování apod.)</w:t>
      </w:r>
      <w:r w:rsidR="00A843E0">
        <w:t>.</w:t>
      </w:r>
    </w:p>
    <w:p w14:paraId="09CEB343" w14:textId="77777777" w:rsidR="00565917" w:rsidRDefault="00565917" w:rsidP="00522334">
      <w:pPr>
        <w:pStyle w:val="Nadpis3"/>
      </w:pPr>
      <w:bookmarkStart w:id="2" w:name="_Toc211009933"/>
      <w:r>
        <w:t>Comptonův efekt</w:t>
      </w:r>
      <w:bookmarkEnd w:id="2"/>
      <w:r w:rsidR="00D03FB7">
        <w:t xml:space="preserve"> </w:t>
      </w:r>
      <w:hyperlink r:id="rId5" w:history="1">
        <w:r w:rsidR="00D03FB7" w:rsidRPr="00D03FB7">
          <w:rPr>
            <w:rStyle w:val="Hypertextovodkaz"/>
            <w:b w:val="0"/>
            <w:sz w:val="20"/>
            <w:szCs w:val="20"/>
          </w:rPr>
          <w:t>wikipedia</w:t>
        </w:r>
      </w:hyperlink>
    </w:p>
    <w:p w14:paraId="59BFBA53" w14:textId="29F1AF32" w:rsidR="00522334" w:rsidRDefault="00110D75" w:rsidP="00E819DD">
      <w:r>
        <w:t>Byl pozorová</w:t>
      </w:r>
      <w:r w:rsidR="00565917">
        <w:t xml:space="preserve">n při rozptylu rentgenového záření na elektronech. Záření odchýlené po srážce s elektronem o úhel </w:t>
      </w:r>
      <w:r w:rsidR="00565917" w:rsidRPr="00A843E0">
        <w:rPr>
          <w:i/>
        </w:rPr>
        <w:t>υ</w:t>
      </w:r>
      <w:r w:rsidR="00565917">
        <w:t xml:space="preserve"> (theta)</w:t>
      </w:r>
      <w:r>
        <w:t xml:space="preserve"> má </w:t>
      </w:r>
      <w:r w:rsidR="00565917">
        <w:t>menší frekvenci tj. větší vlnovou délku</w:t>
      </w:r>
      <w:r>
        <w:t xml:space="preserve"> o </w:t>
      </w:r>
      <m:oMath>
        <m:r>
          <w:rPr>
            <w:rFonts w:ascii="Cambria Math"/>
          </w:rPr>
          <m:t>Δλ=</m:t>
        </m:r>
        <m:f>
          <m:fPr>
            <m:ctrlPr>
              <w:rPr>
                <w:rFonts w:ascii="Cambria Math" w:hAnsi="Cambria Math"/>
                <w:i/>
              </w:rPr>
            </m:ctrlPr>
          </m:fPr>
          <m:num>
            <m:r>
              <w:rPr>
                <w:rFonts w:ascii="Cambria Math"/>
              </w:rPr>
              <m:t>h</m:t>
            </m:r>
            <m:d>
              <m:dPr>
                <m:ctrlPr>
                  <w:rPr>
                    <w:rFonts w:ascii="Cambria Math" w:hAnsi="Cambria Math"/>
                    <w:i/>
                  </w:rPr>
                </m:ctrlPr>
              </m:dPr>
              <m:e>
                <m:r>
                  <w:rPr>
                    <w:rFonts w:ascii="Cambria Math"/>
                  </w:rPr>
                  <m:t>1</m:t>
                </m:r>
                <m:r>
                  <w:rPr>
                    <w:rFonts w:ascii="Cambria Math"/>
                  </w:rPr>
                  <m:t>-</m:t>
                </m:r>
                <m:func>
                  <m:funcPr>
                    <m:ctrlPr>
                      <w:rPr>
                        <w:rFonts w:ascii="Cambria Math" w:hAnsi="Cambria Math"/>
                        <w:i/>
                      </w:rPr>
                    </m:ctrlPr>
                  </m:funcPr>
                  <m:fName>
                    <m:r>
                      <w:rPr>
                        <w:rFonts w:ascii="Cambria Math"/>
                      </w:rPr>
                      <m:t>cos</m:t>
                    </m:r>
                  </m:fName>
                  <m:e>
                    <m:r>
                      <w:rPr>
                        <w:rFonts w:ascii="Cambria Math"/>
                      </w:rPr>
                      <m:t>υ</m:t>
                    </m:r>
                  </m:e>
                </m:func>
              </m:e>
            </m:d>
          </m:num>
          <m:den>
            <m:sSub>
              <m:sSubPr>
                <m:ctrlPr>
                  <w:rPr>
                    <w:rFonts w:ascii="Cambria Math" w:hAnsi="Cambria Math"/>
                    <w:i/>
                  </w:rPr>
                </m:ctrlPr>
              </m:sSubPr>
              <m:e>
                <m:r>
                  <w:rPr>
                    <w:rFonts w:ascii="Cambria Math"/>
                  </w:rPr>
                  <m:t>m</m:t>
                </m:r>
              </m:e>
              <m:sub>
                <m:r>
                  <w:rPr>
                    <w:rFonts w:ascii="Cambria Math"/>
                  </w:rPr>
                  <m:t>0</m:t>
                </m:r>
              </m:sub>
            </m:sSub>
            <m:r>
              <w:rPr>
                <w:rFonts w:ascii="Cambria Math"/>
              </w:rPr>
              <m:t>c</m:t>
            </m:r>
          </m:den>
        </m:f>
      </m:oMath>
      <w:r>
        <w:t>. Toto pozorování je také možné vysvětlit na základě teorie o tom, že světlo se skládá z částic (fotonů), a je tak důkazem o správnosti této teorie.</w:t>
      </w:r>
    </w:p>
    <w:p w14:paraId="2B5BE9B4" w14:textId="77777777" w:rsidR="00522334" w:rsidRPr="0062586E" w:rsidRDefault="00522334" w:rsidP="00522334">
      <w:pPr>
        <w:pStyle w:val="Nadpis3"/>
      </w:pPr>
      <w:bookmarkStart w:id="3" w:name="_Toc211009934"/>
      <w:r w:rsidRPr="0062586E">
        <w:t>Frank</w:t>
      </w:r>
      <w:r w:rsidR="0062586E" w:rsidRPr="0062586E">
        <w:t>-</w:t>
      </w:r>
      <w:r w:rsidRPr="0062586E">
        <w:t>Hertzův pokus</w:t>
      </w:r>
      <w:bookmarkEnd w:id="3"/>
    </w:p>
    <w:p w14:paraId="00217948" w14:textId="77777777" w:rsidR="00522334" w:rsidRPr="00522334" w:rsidRDefault="00522334" w:rsidP="00522334">
      <w:r w:rsidRPr="0062586E">
        <w:t>Fran</w:t>
      </w:r>
      <w:r w:rsidR="0062586E" w:rsidRPr="0062586E">
        <w:t>k-</w:t>
      </w:r>
      <w:r w:rsidRPr="0062586E">
        <w:t xml:space="preserve">Hertzův pokus je dalším experimentálním důkazem, že světlo je proud částic (fotonů). </w:t>
      </w:r>
      <w:hyperlink r:id="rId6" w:history="1">
        <w:r w:rsidRPr="009E467E">
          <w:rPr>
            <w:rStyle w:val="Hypertextovodkaz"/>
          </w:rPr>
          <w:t>Podrobnější popis</w:t>
        </w:r>
      </w:hyperlink>
      <w:r w:rsidRPr="0062586E">
        <w:t xml:space="preserve"> je určen jen pro zájemce.</w:t>
      </w:r>
    </w:p>
    <w:p w14:paraId="1F367F4C" w14:textId="77777777" w:rsidR="000E3104" w:rsidRDefault="000E3104" w:rsidP="00522334">
      <w:pPr>
        <w:pStyle w:val="Nadpis3"/>
      </w:pPr>
      <w:bookmarkStart w:id="4" w:name="_Toc211009935"/>
      <w:r>
        <w:t>Dualismus vlna a částice</w:t>
      </w:r>
      <w:bookmarkEnd w:id="4"/>
    </w:p>
    <w:p w14:paraId="08BE4CAC" w14:textId="77777777" w:rsidR="00110D75" w:rsidRDefault="00110D75" w:rsidP="00B21C11">
      <w:r>
        <w:t>Je tedy světlo elektromagnetické vlnění nebo proud částic (jaký</w:t>
      </w:r>
      <w:r w:rsidR="000E3104">
        <w:t>c</w:t>
      </w:r>
      <w:r>
        <w:t xml:space="preserve">hsi kuliček nazývaných fotony)? Je přinejmenším obojím! </w:t>
      </w:r>
      <w:r w:rsidR="00AC7741">
        <w:t xml:space="preserve">Můžeme použít podobné přirovnání, jaké nalezneme v detektivce s názvem </w:t>
      </w:r>
      <w:r w:rsidR="00AC7741" w:rsidRPr="00A843E0">
        <w:rPr>
          <w:i/>
        </w:rPr>
        <w:t>Smrt má ráda poezii</w:t>
      </w:r>
      <w:r w:rsidR="00AC7741">
        <w:t xml:space="preserve"> od českého matematika Jiřího Klímy (bratra známého </w:t>
      </w:r>
      <w:r>
        <w:t>spisovatele Ivana Klímy)</w:t>
      </w:r>
      <w:r w:rsidR="00AC7741">
        <w:t>. Světlo je jako krásné staré stolní hodiny vyrobené z kovu, dřeva, mramoru a skla. Pokud se k nim přiblížíme se zavázanýma očima a budeme se řídit pouze hmatem, pak můžeme narazit na něco tvrdého a studeného (mramor). Jindy si však sáhneme na něco teplejšího a trochu měkčího (dřevo). V podobné situaci jsou fyzici, kteří zkoumají světlo. Někdy se s ním setkávají tak, že se jeví jako záření, a jindy se s ním setkávají tak, že se jeví jako proud částic. Ve skutečnosti je obojím a není vyloučeno, že v sobě skrý</w:t>
      </w:r>
      <w:r w:rsidR="00B94748">
        <w:t xml:space="preserve">vá ještě něco, co </w:t>
      </w:r>
      <w:r w:rsidR="009728FA">
        <w:t xml:space="preserve">našemu zkoumání </w:t>
      </w:r>
      <w:r w:rsidR="00B94748">
        <w:t xml:space="preserve">zatím </w:t>
      </w:r>
      <w:r w:rsidR="009728FA">
        <w:t>uniklo.</w:t>
      </w:r>
      <w:r w:rsidR="00AC7741">
        <w:t xml:space="preserve">    </w:t>
      </w:r>
      <w:r>
        <w:t xml:space="preserve">  </w:t>
      </w:r>
    </w:p>
    <w:p w14:paraId="07901DFB" w14:textId="77777777" w:rsidR="00110D75" w:rsidRDefault="00110D75" w:rsidP="00B21C11"/>
    <w:p w14:paraId="3EDAE234" w14:textId="77777777" w:rsidR="000E3104" w:rsidRDefault="000E3104" w:rsidP="00B21C11">
      <w:r>
        <w:t xml:space="preserve">Podobně je to i s elektronem a dalšími elementárními částicemi. V některých situacích se chovají jako jednotlivé oddělené částice (kuličky), jindy se chovají spíše jako vlna. Necháme-li například procházet svazek letících elektronů dvojštěrbinou, a na stínítku za ní budeme studovat, kam elektrony dopadají, zjistíme, že se </w:t>
      </w:r>
      <w:r>
        <w:lastRenderedPageBreak/>
        <w:t>elektrony chovají jako vlny</w:t>
      </w:r>
      <w:r w:rsidR="003D52D9">
        <w:t>. P</w:t>
      </w:r>
      <w:r>
        <w:t xml:space="preserve">robíhá </w:t>
      </w:r>
      <w:r w:rsidR="003D52D9">
        <w:t xml:space="preserve">zde i </w:t>
      </w:r>
      <w:r>
        <w:t xml:space="preserve">interference včetně interference destruktivní. </w:t>
      </w:r>
      <w:r w:rsidR="003D52D9">
        <w:t>Připomeňme, že při destruktivní interferenci d</w:t>
      </w:r>
      <w:r>
        <w:t>ochází k situaci,</w:t>
      </w:r>
      <w:r w:rsidR="00E222E9">
        <w:t xml:space="preserve"> kdy</w:t>
      </w:r>
      <w:r>
        <w:t xml:space="preserve"> se dvě vlny s opačnou fází v určitém místě vzájemně </w:t>
      </w:r>
      <w:r w:rsidR="003D52D9">
        <w:t>vyruší. Tento jev je běžně pozorován u mechanického i elektromagnetického vlnění. To že, se vzájemně zruší dvě letící částice typu kulička, je jen stěží představitelné.</w:t>
      </w:r>
    </w:p>
    <w:p w14:paraId="6E24AB52" w14:textId="77777777" w:rsidR="00E222E9" w:rsidRDefault="00E222E9" w:rsidP="00B21C11"/>
    <w:p w14:paraId="0FCD5F1B" w14:textId="0EAB9BE0" w:rsidR="000E3104" w:rsidRDefault="00E222E9" w:rsidP="00E819DD">
      <w:r>
        <w:t xml:space="preserve">Fyzik Luis de Broglie v této souvislosti formuloval vztah, později ověřený v rámci dalších teorií, že každá </w:t>
      </w:r>
      <w:r w:rsidR="002578A0">
        <w:t xml:space="preserve">pohybující se </w:t>
      </w:r>
      <w:r>
        <w:t xml:space="preserve">částice s hybností </w:t>
      </w:r>
      <w:r w:rsidRPr="00A843E0">
        <w:rPr>
          <w:i/>
        </w:rPr>
        <w:t>p</w:t>
      </w:r>
      <w:r>
        <w:t xml:space="preserve"> se též projevuje jako vlna s vlnovou délkou </w:t>
      </w:r>
      <m:oMath>
        <m:r>
          <w:rPr>
            <w:rFonts w:ascii="Cambria Math"/>
          </w:rPr>
          <m:t>λ=</m:t>
        </m:r>
        <m:f>
          <m:fPr>
            <m:ctrlPr>
              <w:rPr>
                <w:rFonts w:ascii="Cambria Math" w:hAnsi="Cambria Math"/>
                <w:i/>
              </w:rPr>
            </m:ctrlPr>
          </m:fPr>
          <m:num>
            <m:r>
              <w:rPr>
                <w:rFonts w:ascii="Cambria Math"/>
              </w:rPr>
              <m:t>h</m:t>
            </m:r>
          </m:num>
          <m:den>
            <m:r>
              <w:rPr>
                <w:rFonts w:ascii="Cambria Math"/>
              </w:rPr>
              <m:t>p</m:t>
            </m:r>
          </m:den>
        </m:f>
      </m:oMath>
      <w:r>
        <w:t xml:space="preserve">. V čitateli zlomku </w:t>
      </w:r>
      <w:r w:rsidR="003D52D9">
        <w:t xml:space="preserve">je </w:t>
      </w:r>
      <w:r>
        <w:t xml:space="preserve">Planckova konstanta, která má velmi malou hodnotu </w:t>
      </w:r>
      <w:r w:rsidRPr="00075170">
        <w:rPr>
          <w:i/>
        </w:rPr>
        <w:t>h</w:t>
      </w:r>
      <w:r w:rsidR="004F14FA">
        <w:rPr>
          <w:i/>
        </w:rPr>
        <w:t xml:space="preserve"> </w:t>
      </w:r>
      <w:r>
        <w:t>=</w:t>
      </w:r>
      <w:r w:rsidR="004F14FA">
        <w:t xml:space="preserve"> </w:t>
      </w:r>
      <w:r>
        <w:t>6,6</w:t>
      </w:r>
      <w:r w:rsidR="00960D7A">
        <w:t>26·</w:t>
      </w:r>
      <w:r>
        <w:t>10</w:t>
      </w:r>
      <w:r w:rsidR="0008069C">
        <w:rPr>
          <w:vertAlign w:val="superscript"/>
        </w:rPr>
        <w:t>–</w:t>
      </w:r>
      <w:r>
        <w:rPr>
          <w:vertAlign w:val="superscript"/>
        </w:rPr>
        <w:t>34</w:t>
      </w:r>
      <w:r>
        <w:t>J</w:t>
      </w:r>
      <w:r w:rsidR="00960D7A">
        <w:t>·</w:t>
      </w:r>
      <w:r>
        <w:t xml:space="preserve">s. Pokud dosazujeme za hybnost </w:t>
      </w:r>
      <w:r w:rsidRPr="00075170">
        <w:rPr>
          <w:i/>
        </w:rPr>
        <w:t>p</w:t>
      </w:r>
      <w:r>
        <w:t xml:space="preserve"> hodnoty známé z makrosvěta, pak vychází vlnová délka </w:t>
      </w:r>
      <w:r w:rsidRPr="00075170">
        <w:rPr>
          <w:i/>
        </w:rPr>
        <w:t>λ</w:t>
      </w:r>
      <w:r>
        <w:t xml:space="preserve"> neměřitelně malá. Pokud </w:t>
      </w:r>
      <w:r w:rsidR="003D52D9">
        <w:t xml:space="preserve">však dosadíme hodnoty z mikrosvěta, dostáváme pro </w:t>
      </w:r>
      <w:r w:rsidR="00144C7E">
        <w:t xml:space="preserve">vlnové délky </w:t>
      </w:r>
      <w:r w:rsidR="003D52D9" w:rsidRPr="00075170">
        <w:rPr>
          <w:i/>
        </w:rPr>
        <w:t>λ</w:t>
      </w:r>
      <w:r w:rsidR="003D52D9">
        <w:t xml:space="preserve"> hodnoty, se kterými se jak v teorii tak při experimentech běžně pracuje.</w:t>
      </w:r>
      <w:r>
        <w:t xml:space="preserve">   </w:t>
      </w:r>
    </w:p>
    <w:p w14:paraId="54C63B17" w14:textId="77777777" w:rsidR="0085025B" w:rsidRDefault="00544392" w:rsidP="00522334">
      <w:pPr>
        <w:pStyle w:val="Nadpis1"/>
      </w:pPr>
      <w:bookmarkStart w:id="5" w:name="_Toc211009936"/>
      <w:r>
        <w:rPr>
          <w:noProof/>
        </w:rPr>
        <w:drawing>
          <wp:anchor distT="0" distB="0" distL="114300" distR="114300" simplePos="0" relativeHeight="251656704" behindDoc="0" locked="0" layoutInCell="1" allowOverlap="1" wp14:anchorId="40F4E2B2" wp14:editId="0DA9A082">
            <wp:simplePos x="0" y="0"/>
            <wp:positionH relativeFrom="column">
              <wp:posOffset>3346450</wp:posOffset>
            </wp:positionH>
            <wp:positionV relativeFrom="paragraph">
              <wp:posOffset>365760</wp:posOffset>
            </wp:positionV>
            <wp:extent cx="3435350" cy="3657600"/>
            <wp:effectExtent l="0" t="0" r="0" b="0"/>
            <wp:wrapSquare wrapText="bothSides"/>
            <wp:docPr id="6" name="obrázek 18" descr="zareni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reniA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535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25B">
        <w:t>Záření absolutně černého tělesa</w:t>
      </w:r>
      <w:bookmarkEnd w:id="5"/>
    </w:p>
    <w:p w14:paraId="53D5C89B" w14:textId="77777777" w:rsidR="00AC7458" w:rsidRDefault="0085025B" w:rsidP="0085025B">
      <w:r>
        <w:t>V každém tělese neustále kmitají částice, ze kterých se těleso skládá. Protože jde většinou o částice nesoucí elektrický náboj, je toto kmitání doprovázeno vyzařováním elektromagnetických vln. Při studiu tohoto vyzařování je třeba odlišit záření pocházející ze zkoumaného tělesa a záření, které vzniklo jinde a od zkoumaného tělesa se jen odráží. Nejlépe se zkoumá těleso, které žádné záření neodráží. Fyzika zavádí v tomto případě idealizaci, které říká Absolutně černé těleso</w:t>
      </w:r>
      <w:r w:rsidR="00AC7458">
        <w:t xml:space="preserve"> (AČT)</w:t>
      </w:r>
      <w:r>
        <w:t xml:space="preserve">. </w:t>
      </w:r>
      <w:r w:rsidR="003A2DAB">
        <w:t xml:space="preserve">AČT </w:t>
      </w:r>
      <w:r>
        <w:t>je těleso, které veškeré dopadající elektromagnetické záření pohlcuje a žádné neodráží.</w:t>
      </w:r>
      <w:r w:rsidR="00A12F95">
        <w:t xml:space="preserve"> Neznamená to však, že t</w:t>
      </w:r>
      <w:r w:rsidR="00AC7458">
        <w:t>akové</w:t>
      </w:r>
      <w:r w:rsidR="00A12F95">
        <w:t xml:space="preserve"> těleso žádné záření nevysílá. Vysílá své vlastní záření v důsledku výše zmíněného tepelného pohybu svých částic. Pokud je hodně zahřáté vysílá docela hodně a tak se vůbec nejeví černé, jak by mohl název napovídat.</w:t>
      </w:r>
      <w:r w:rsidR="00AC7458">
        <w:t xml:space="preserve"> Jde o ideální pojem (podobně jako např. hmotný bod, ideální plyn nebo dokonalá kapalina). Zavedení takového pojmu však není žádným fyzikálním nesmyslem. Mnoho reálných těles se svými vlastnostmi </w:t>
      </w:r>
      <w:r w:rsidR="003A2DAB">
        <w:t>AČT</w:t>
      </w:r>
      <w:r w:rsidR="00AC7458">
        <w:t xml:space="preserve"> blíží, a proto jejich chování hodně </w:t>
      </w:r>
      <w:r w:rsidR="00075170">
        <w:t>podobné</w:t>
      </w:r>
      <w:r w:rsidR="00AC7458">
        <w:t xml:space="preserve"> tomu, které bylo na základě studia idealizace popsáno.</w:t>
      </w:r>
    </w:p>
    <w:p w14:paraId="4B7DC7B0" w14:textId="77777777" w:rsidR="00035286" w:rsidRPr="00A843E0" w:rsidRDefault="00035286" w:rsidP="0085025B"/>
    <w:p w14:paraId="33627B90" w14:textId="77777777" w:rsidR="00AC7458" w:rsidRDefault="003A2DAB" w:rsidP="0085025B">
      <w:r>
        <w:t>AČT</w:t>
      </w:r>
      <w:r w:rsidR="00AC7458">
        <w:t xml:space="preserve"> vyzařuje na všech vlnových délkách. Na malých poměrně málo. Potom energie vyzařování roste. Při určité hodnotě vlnové délky nastává maximum. Na ještě větších vlnových délkách vyzařování opět klesá. Konkrétní tvar křivky je závislý na teplotě </w:t>
      </w:r>
      <w:r>
        <w:t>AČT</w:t>
      </w:r>
      <w:r w:rsidR="00AC7458">
        <w:t>, které záření vydává.</w:t>
      </w:r>
    </w:p>
    <w:p w14:paraId="642B07DF" w14:textId="77777777" w:rsidR="00AC7458" w:rsidRDefault="00AC7458" w:rsidP="0085025B"/>
    <w:p w14:paraId="61D9D791" w14:textId="77777777" w:rsidR="003A2DAB" w:rsidRDefault="00AC7458" w:rsidP="00F50B34">
      <w:r>
        <w:t>Bylo zjištěno, že vlnová délka</w:t>
      </w:r>
      <w:r w:rsidR="003A2DAB">
        <w:t xml:space="preserve"> </w:t>
      </w:r>
      <w:r w:rsidR="003A2DAB" w:rsidRPr="003A2DAB">
        <w:rPr>
          <w:i/>
        </w:rPr>
        <w:t>λ</w:t>
      </w:r>
      <w:r w:rsidR="003A2DAB" w:rsidRPr="003A2DAB">
        <w:rPr>
          <w:i/>
          <w:vertAlign w:val="subscript"/>
        </w:rPr>
        <w:t>m</w:t>
      </w:r>
      <w:r>
        <w:t>, při které je záření nejintenzivnější souvisí s</w:t>
      </w:r>
      <w:r w:rsidR="003A2DAB">
        <w:t xml:space="preserve"> termodynamickou </w:t>
      </w:r>
      <w:r>
        <w:t>teplotou AČT</w:t>
      </w:r>
      <w:r w:rsidR="003A2DAB">
        <w:t xml:space="preserve"> podle vztahu </w:t>
      </w:r>
      <m:oMath>
        <m:sSub>
          <m:sSubPr>
            <m:ctrlPr>
              <w:rPr>
                <w:rFonts w:ascii="Cambria Math" w:hAnsi="Cambria Math"/>
                <w:i/>
              </w:rPr>
            </m:ctrlPr>
          </m:sSubPr>
          <m:e>
            <m:r>
              <w:rPr>
                <w:rFonts w:ascii="Cambria Math"/>
              </w:rPr>
              <m:t>λ</m:t>
            </m:r>
          </m:e>
          <m:sub>
            <m:r>
              <w:rPr>
                <w:rFonts w:ascii="Cambria Math"/>
              </w:rPr>
              <m:t>m</m:t>
            </m:r>
          </m:sub>
        </m:sSub>
        <m:r>
          <w:rPr>
            <w:rFonts w:ascii="Cambria Math" w:hAnsi="Cambria Math" w:cs="Cambria Math"/>
          </w:rPr>
          <m:t>⋅</m:t>
        </m:r>
        <m:r>
          <w:rPr>
            <w:rFonts w:ascii="Cambria Math"/>
          </w:rPr>
          <m:t>T=b=2,898</m:t>
        </m:r>
        <m:r>
          <w:rPr>
            <w:rFonts w:ascii="Cambria Math" w:hAnsi="Cambria Math" w:cs="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3</m:t>
            </m:r>
          </m:sup>
        </m:sSup>
        <m:r>
          <w:rPr>
            <w:rFonts w:ascii="Cambria Math"/>
          </w:rPr>
          <m:t xml:space="preserve"> m</m:t>
        </m:r>
        <m:r>
          <w:rPr>
            <w:rFonts w:ascii="Cambria Math" w:hAnsi="Cambria Math" w:cs="Cambria Math"/>
          </w:rPr>
          <m:t>⋅</m:t>
        </m:r>
        <m:r>
          <w:rPr>
            <w:rFonts w:ascii="Cambria Math"/>
          </w:rPr>
          <m:t>K</m:t>
        </m:r>
      </m:oMath>
      <w:r w:rsidR="003A2DAB">
        <w:t>. Tomuto vztahu se říká Wienův posunovací zákon.</w:t>
      </w:r>
    </w:p>
    <w:p w14:paraId="7D2FC28B" w14:textId="6726DC18" w:rsidR="003A2DAB" w:rsidRDefault="003A2DAB" w:rsidP="00E819DD">
      <w:r>
        <w:t xml:space="preserve">Celková energie </w:t>
      </w:r>
      <w:r w:rsidRPr="008166E3">
        <w:rPr>
          <w:i/>
        </w:rPr>
        <w:t>J</w:t>
      </w:r>
      <w:r w:rsidRPr="008166E3">
        <w:rPr>
          <w:i/>
          <w:vertAlign w:val="subscript"/>
        </w:rPr>
        <w:t>e</w:t>
      </w:r>
      <w:r>
        <w:t xml:space="preserve"> vyzářená 1m</w:t>
      </w:r>
      <w:r>
        <w:rPr>
          <w:vertAlign w:val="superscript"/>
        </w:rPr>
        <w:t>2</w:t>
      </w:r>
      <w:r>
        <w:t xml:space="preserve"> AČT za 1s se </w:t>
      </w:r>
      <w:r w:rsidR="008166E3">
        <w:t>vyjadřuje</w:t>
      </w:r>
      <w:r>
        <w:t xml:space="preserve"> vztahem </w:t>
      </w:r>
      <m:oMath>
        <m:sSub>
          <m:sSubPr>
            <m:ctrlPr>
              <w:rPr>
                <w:rFonts w:ascii="Cambria Math" w:hAnsi="Cambria Math"/>
                <w:i/>
              </w:rPr>
            </m:ctrlPr>
          </m:sSubPr>
          <m:e>
            <m:r>
              <w:rPr>
                <w:rFonts w:ascii="Cambria Math"/>
              </w:rPr>
              <m:t>J</m:t>
            </m:r>
          </m:e>
          <m:sub>
            <m:r>
              <w:rPr>
                <w:rFonts w:ascii="Cambria Math"/>
              </w:rPr>
              <m:t>e</m:t>
            </m:r>
          </m:sub>
        </m:sSub>
        <m:r>
          <w:rPr>
            <w:rFonts w:ascii="Cambria Math"/>
          </w:rPr>
          <m:t>=σ</m:t>
        </m:r>
        <m:r>
          <w:rPr>
            <w:rFonts w:ascii="Cambria Math" w:hAnsi="Cambria Math" w:cs="Cambria Math"/>
          </w:rPr>
          <m:t>⋅</m:t>
        </m:r>
        <m:sSup>
          <m:sSupPr>
            <m:ctrlPr>
              <w:rPr>
                <w:rFonts w:ascii="Cambria Math" w:hAnsi="Cambria Math"/>
                <w:i/>
              </w:rPr>
            </m:ctrlPr>
          </m:sSupPr>
          <m:e>
            <m:r>
              <w:rPr>
                <w:rFonts w:ascii="Cambria Math"/>
              </w:rPr>
              <m:t>T</m:t>
            </m:r>
          </m:e>
          <m:sup>
            <m:r>
              <w:rPr>
                <w:rFonts w:ascii="Cambria Math"/>
              </w:rPr>
              <m:t>4</m:t>
            </m:r>
          </m:sup>
        </m:sSup>
      </m:oMath>
      <w:r>
        <w:t xml:space="preserve"> , kde konstanta </w:t>
      </w:r>
      <w:r w:rsidR="00075170">
        <w:br/>
      </w:r>
      <w:r w:rsidRPr="008166E3">
        <w:rPr>
          <w:i/>
        </w:rPr>
        <w:t>σ</w:t>
      </w:r>
      <w:r>
        <w:t xml:space="preserve"> = </w:t>
      </w:r>
      <w:r w:rsidR="008166E3">
        <w:t>5,67</w:t>
      </w:r>
      <w:r w:rsidR="00F50B34">
        <w:t>0·</w:t>
      </w:r>
      <w:r w:rsidR="008166E3">
        <w:t>10</w:t>
      </w:r>
      <w:r w:rsidR="008166E3">
        <w:rPr>
          <w:vertAlign w:val="superscript"/>
        </w:rPr>
        <w:t>-8</w:t>
      </w:r>
      <w:r w:rsidR="00F50B34">
        <w:rPr>
          <w:vertAlign w:val="superscript"/>
        </w:rPr>
        <w:t xml:space="preserve"> </w:t>
      </w:r>
      <w:r w:rsidR="008166E3">
        <w:t>Wm</w:t>
      </w:r>
      <w:r w:rsidR="008166E3">
        <w:rPr>
          <w:vertAlign w:val="superscript"/>
        </w:rPr>
        <w:t>-2</w:t>
      </w:r>
      <w:r w:rsidR="008166E3">
        <w:t>K</w:t>
      </w:r>
      <w:r w:rsidR="008166E3">
        <w:rPr>
          <w:vertAlign w:val="superscript"/>
        </w:rPr>
        <w:t>-4</w:t>
      </w:r>
      <w:r w:rsidR="008166E3">
        <w:t>. Tomuto vztahu se říká Stefan-Boltzmannův zákon.</w:t>
      </w:r>
    </w:p>
    <w:p w14:paraId="2C474BC7" w14:textId="77777777" w:rsidR="00A843E0" w:rsidRDefault="00A843E0" w:rsidP="0085025B"/>
    <w:p w14:paraId="4632DFBE" w14:textId="77777777" w:rsidR="008166E3" w:rsidRDefault="008166E3" w:rsidP="0085025B">
      <w:r>
        <w:t xml:space="preserve">Výše uvedené závislosti byly zjištěny nejdříve experimentálně. Teprve později byly odvozeny také teoreticky. Při tomto odvození bylo nutné uplatnit předpoklad, že světlo a elektromagnetické vlnění vůbec je proud fotonů s energií </w:t>
      </w:r>
      <w:r w:rsidRPr="008166E3">
        <w:rPr>
          <w:i/>
        </w:rPr>
        <w:t>h</w:t>
      </w:r>
      <w:r w:rsidR="00F50B34">
        <w:rPr>
          <w:i/>
        </w:rPr>
        <w:t>·</w:t>
      </w:r>
      <w:r w:rsidRPr="008166E3">
        <w:rPr>
          <w:i/>
        </w:rPr>
        <w:t>f</w:t>
      </w:r>
      <w:r w:rsidR="00F50B34">
        <w:rPr>
          <w:i/>
        </w:rPr>
        <w:t xml:space="preserve"> </w:t>
      </w:r>
      <w:r>
        <w:t xml:space="preserve">. </w:t>
      </w:r>
    </w:p>
    <w:p w14:paraId="28BE5CAF" w14:textId="77777777" w:rsidR="008166E3" w:rsidRDefault="008166E3" w:rsidP="0085025B"/>
    <w:p w14:paraId="29F66531" w14:textId="1CE23ABA" w:rsidR="00504791" w:rsidRDefault="008166E3" w:rsidP="00E819DD">
      <w:r>
        <w:t xml:space="preserve">Něco navíc: Závislost vyzařované energie </w:t>
      </w:r>
      <w:r w:rsidRPr="00A843E0">
        <w:rPr>
          <w:i/>
        </w:rPr>
        <w:t>E</w:t>
      </w:r>
      <w:r>
        <w:t xml:space="preserve"> na vlnové délce je </w:t>
      </w:r>
      <w:r w:rsidRPr="00C86CBA">
        <w:rPr>
          <w:i/>
        </w:rPr>
        <w:t>λ</w:t>
      </w:r>
      <w:r>
        <w:t xml:space="preserve"> je podle teoretického odvození.</w:t>
      </w:r>
      <w:r w:rsidR="00C86CBA">
        <w:t xml:space="preserve"> </w:t>
      </w:r>
      <m:oMath>
        <m:f>
          <m:fPr>
            <m:ctrlPr>
              <w:rPr>
                <w:rFonts w:ascii="Cambria Math" w:hAnsi="Cambria Math"/>
                <w:i/>
              </w:rPr>
            </m:ctrlPr>
          </m:fPr>
          <m:num>
            <m:r>
              <w:rPr>
                <w:rFonts w:ascii="Cambria Math"/>
              </w:rPr>
              <m:t>ΔE</m:t>
            </m:r>
          </m:num>
          <m:den>
            <m:r>
              <w:rPr>
                <w:rFonts w:ascii="Cambria Math"/>
              </w:rPr>
              <m:t>Δλ</m:t>
            </m:r>
          </m:den>
        </m:f>
        <m:r>
          <w:rPr>
            <w:rFonts w:ascii="Cambria Math"/>
          </w:rPr>
          <m:t>=</m:t>
        </m:r>
        <m:f>
          <m:fPr>
            <m:ctrlPr>
              <w:rPr>
                <w:rFonts w:ascii="Cambria Math" w:hAnsi="Cambria Math"/>
                <w:i/>
              </w:rPr>
            </m:ctrlPr>
          </m:fPr>
          <m:num>
            <m:r>
              <w:rPr>
                <w:rFonts w:ascii="Cambria Math"/>
              </w:rPr>
              <m:t>2π</m:t>
            </m:r>
            <m:r>
              <w:rPr>
                <w:rFonts w:ascii="Cambria Math"/>
              </w:rPr>
              <m:t>h</m:t>
            </m:r>
            <m:sSup>
              <m:sSupPr>
                <m:ctrlPr>
                  <w:rPr>
                    <w:rFonts w:ascii="Cambria Math" w:hAnsi="Cambria Math"/>
                    <w:i/>
                  </w:rPr>
                </m:ctrlPr>
              </m:sSupPr>
              <m:e>
                <m:r>
                  <w:rPr>
                    <w:rFonts w:ascii="Cambria Math"/>
                  </w:rPr>
                  <m:t>c</m:t>
                </m:r>
              </m:e>
              <m:sup>
                <m:r>
                  <w:rPr>
                    <w:rFonts w:ascii="Cambria Math"/>
                  </w:rPr>
                  <m:t>2</m:t>
                </m:r>
              </m:sup>
            </m:sSup>
          </m:num>
          <m:den>
            <m:sSup>
              <m:sSupPr>
                <m:ctrlPr>
                  <w:rPr>
                    <w:rFonts w:ascii="Cambria Math" w:hAnsi="Cambria Math"/>
                    <w:i/>
                  </w:rPr>
                </m:ctrlPr>
              </m:sSupPr>
              <m:e>
                <m:r>
                  <w:rPr>
                    <w:rFonts w:ascii="Cambria Math"/>
                  </w:rPr>
                  <m:t>λ</m:t>
                </m:r>
              </m:e>
              <m:sup>
                <m:r>
                  <w:rPr>
                    <w:rFonts w:ascii="Cambria Math"/>
                  </w:rPr>
                  <m:t>5</m:t>
                </m:r>
              </m:sup>
            </m:sSup>
            <m:d>
              <m:dPr>
                <m:ctrlPr>
                  <w:rPr>
                    <w:rFonts w:ascii="Cambria Math" w:hAnsi="Cambria Math"/>
                    <w:i/>
                  </w:rPr>
                </m:ctrlPr>
              </m:dPr>
              <m:e>
                <m:sSup>
                  <m:sSupPr>
                    <m:ctrlPr>
                      <w:rPr>
                        <w:rFonts w:ascii="Cambria Math" w:hAnsi="Cambria Math"/>
                        <w:i/>
                      </w:rPr>
                    </m:ctrlPr>
                  </m:sSupPr>
                  <m:e>
                    <m:r>
                      <w:rPr>
                        <w:rFonts w:ascii="Cambria Math"/>
                      </w:rPr>
                      <m:t>e</m:t>
                    </m:r>
                  </m:e>
                  <m:sup>
                    <m:f>
                      <m:fPr>
                        <m:ctrlPr>
                          <w:rPr>
                            <w:rFonts w:ascii="Cambria Math" w:hAnsi="Cambria Math"/>
                            <w:i/>
                          </w:rPr>
                        </m:ctrlPr>
                      </m:fPr>
                      <m:num>
                        <m:r>
                          <w:rPr>
                            <w:rFonts w:ascii="Cambria Math"/>
                          </w:rPr>
                          <m:t>h</m:t>
                        </m:r>
                        <m:r>
                          <w:rPr>
                            <w:rFonts w:ascii="Cambria Math"/>
                          </w:rPr>
                          <m:t>c</m:t>
                        </m:r>
                      </m:num>
                      <m:den>
                        <m:r>
                          <w:rPr>
                            <w:rFonts w:ascii="Cambria Math"/>
                          </w:rPr>
                          <m:t>λkT</m:t>
                        </m:r>
                      </m:den>
                    </m:f>
                  </m:sup>
                </m:sSup>
                <m:r>
                  <w:rPr>
                    <w:rFonts w:ascii="Cambria Math"/>
                  </w:rPr>
                  <m:t>-</m:t>
                </m:r>
                <m:r>
                  <w:rPr>
                    <w:rFonts w:ascii="Cambria Math"/>
                  </w:rPr>
                  <m:t>1</m:t>
                </m:r>
              </m:e>
            </m:d>
          </m:den>
        </m:f>
      </m:oMath>
      <w:r w:rsidR="00CC736F">
        <w:t xml:space="preserve">. </w:t>
      </w:r>
      <w:r w:rsidR="00504791">
        <w:t xml:space="preserve">Derivováním uvedeného vztahu podle </w:t>
      </w:r>
      <w:r w:rsidR="00504791" w:rsidRPr="00CC736F">
        <w:rPr>
          <w:i/>
        </w:rPr>
        <w:t>λ</w:t>
      </w:r>
      <w:r w:rsidR="00504791">
        <w:t xml:space="preserve"> můžeme najít maximum této funkce a odvodit tak </w:t>
      </w:r>
      <w:r w:rsidR="00504791" w:rsidRPr="0062586E">
        <w:t xml:space="preserve">Wienův </w:t>
      </w:r>
      <w:r w:rsidR="00504791" w:rsidRPr="0062586E">
        <w:lastRenderedPageBreak/>
        <w:t>posunovací zákon a integrováním vztahu přes všechny vlnové délky můžeme odvodit Stefan</w:t>
      </w:r>
      <w:r w:rsidR="0062586E" w:rsidRPr="0062586E">
        <w:t>-</w:t>
      </w:r>
      <w:r w:rsidR="00504791" w:rsidRPr="0062586E">
        <w:t>Boltzmannův zákon</w:t>
      </w:r>
      <w:r w:rsidR="00504791">
        <w:t>. Trošku to vša</w:t>
      </w:r>
      <w:r w:rsidR="00CC736F">
        <w:t>k přesahuje středoškolskou matematiku</w:t>
      </w:r>
      <w:r w:rsidR="00504791">
        <w:t>.</w:t>
      </w:r>
    </w:p>
    <w:p w14:paraId="6C94C471" w14:textId="77777777" w:rsidR="00504791" w:rsidRDefault="00504791" w:rsidP="0085025B"/>
    <w:p w14:paraId="2241135F" w14:textId="77777777" w:rsidR="00735618" w:rsidRDefault="00504791" w:rsidP="0085025B">
      <w:r w:rsidRPr="00D27F3E">
        <w:t>Užití v praxi:</w:t>
      </w:r>
      <w:r>
        <w:t xml:space="preserve"> Reálným příkladem situace, která se </w:t>
      </w:r>
      <w:r w:rsidR="00735618">
        <w:t xml:space="preserve">velmi </w:t>
      </w:r>
      <w:r>
        <w:t>blíží k pojmu AČT, je malý otvor do průmyslové pece (například pro tavení železné rudy nebo pro vypalování cihel). Veškeré záření, které do otvoru dopadne, projde dovnitř pece, kde se mnohokrát odrazí</w:t>
      </w:r>
      <w:r w:rsidR="00EF50DC">
        <w:t>,</w:t>
      </w:r>
      <w:r>
        <w:t xml:space="preserve"> až je zcela pohlceno. Žádné se tedy neodráží. Z otvoru vychází záření</w:t>
      </w:r>
      <w:r w:rsidR="00735618">
        <w:t>,</w:t>
      </w:r>
      <w:r>
        <w:t xml:space="preserve"> </w:t>
      </w:r>
      <w:r w:rsidR="00735618">
        <w:t>peci</w:t>
      </w:r>
      <w:r>
        <w:t xml:space="preserve"> vzniklo. Jeho studiem můžeme zjistit teplotu uvnitř pece.</w:t>
      </w:r>
    </w:p>
    <w:p w14:paraId="3590E1C7" w14:textId="77777777" w:rsidR="00735618" w:rsidRDefault="00735618" w:rsidP="00735618">
      <w:pPr>
        <w:pStyle w:val="Nadpis1"/>
      </w:pPr>
      <w:bookmarkStart w:id="6" w:name="_Toc211009937"/>
      <w:r>
        <w:t>Druhy spekter</w:t>
      </w:r>
      <w:bookmarkEnd w:id="6"/>
    </w:p>
    <w:p w14:paraId="123266F6" w14:textId="77777777" w:rsidR="00AC7458" w:rsidRDefault="00735618" w:rsidP="0085025B">
      <w:r>
        <w:t xml:space="preserve">Seznamme se třemi druhy spekter. Absolutně černé těleso zmiňované v předchozím článku vydává </w:t>
      </w:r>
      <w:r w:rsidRPr="00707899">
        <w:rPr>
          <w:b/>
        </w:rPr>
        <w:t>spojité</w:t>
      </w:r>
      <w:r>
        <w:t xml:space="preserve"> spektrum. Jsou v něm bez přerušení zastoupeny</w:t>
      </w:r>
      <w:r w:rsidR="00D5084F">
        <w:t xml:space="preserve"> všechny vlnové délky (barvy). Spektra, která vyzařují zahřáté plyny (např. při elektrických výbojích) se nazývají </w:t>
      </w:r>
      <w:r w:rsidR="00B1440B" w:rsidRPr="00707899">
        <w:rPr>
          <w:b/>
        </w:rPr>
        <w:t>emisní</w:t>
      </w:r>
      <w:r w:rsidR="00D5084F">
        <w:t>. Obsahují jen některé vlnové délky</w:t>
      </w:r>
      <w:r w:rsidR="00B1440B">
        <w:t xml:space="preserve"> (čáry)</w:t>
      </w:r>
      <w:r w:rsidR="00D5084F">
        <w:t>, které odpovídají přeskokům elektronů mezi jednotlivými energetickými hladinami v elektronových obalech atomů těchto plynů. Pokud původně spojité záření (např. z AČT) prochází přes vrstvu chladnějšího plynu, odpovídající čáry budou ve výsledném spektru naopak chybět, protože elektrony v atomech plynu využijí procházející fotony pro přeskok do energeticky vyššího (excitovaného) stavu. Spojitému spektru s několika chybějícími vlnovými délkami (čarami) se říká spektrum</w:t>
      </w:r>
      <w:r>
        <w:t xml:space="preserve"> </w:t>
      </w:r>
      <w:r w:rsidR="00D5084F" w:rsidRPr="00707899">
        <w:rPr>
          <w:b/>
        </w:rPr>
        <w:t>absorpční</w:t>
      </w:r>
      <w:r w:rsidR="00D5084F">
        <w:t>.</w:t>
      </w:r>
      <w:r w:rsidR="00504791">
        <w:t xml:space="preserve">   </w:t>
      </w:r>
    </w:p>
    <w:p w14:paraId="32A4B2C6" w14:textId="77777777" w:rsidR="00551A83" w:rsidRDefault="00551A83" w:rsidP="0085025B"/>
    <w:p w14:paraId="736B33BD" w14:textId="77777777" w:rsidR="00035286" w:rsidRDefault="00960D7A" w:rsidP="00035286">
      <w:pPr>
        <w:jc w:val="center"/>
      </w:pPr>
      <w:r>
        <w:rPr>
          <w:noProof/>
        </w:rPr>
        <w:drawing>
          <wp:inline distT="0" distB="0" distL="0" distR="0" wp14:anchorId="7635261E" wp14:editId="70043F03">
            <wp:extent cx="5972810" cy="2127885"/>
            <wp:effectExtent l="0" t="0" r="889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2127885"/>
                    </a:xfrm>
                    <a:prstGeom prst="rect">
                      <a:avLst/>
                    </a:prstGeom>
                  </pic:spPr>
                </pic:pic>
              </a:graphicData>
            </a:graphic>
          </wp:inline>
        </w:drawing>
      </w:r>
    </w:p>
    <w:p w14:paraId="72ACC362" w14:textId="77777777" w:rsidR="00960D7A" w:rsidRDefault="00960D7A" w:rsidP="00960D7A">
      <w:r>
        <w:rPr>
          <w:noProof/>
        </w:rPr>
        <w:drawing>
          <wp:inline distT="0" distB="0" distL="0" distR="0" wp14:anchorId="6DF24881" wp14:editId="02D464CB">
            <wp:extent cx="3950970" cy="3241675"/>
            <wp:effectExtent l="0" t="0" r="0" b="0"/>
            <wp:docPr id="8" name="Obrázek 8" descr="https://xmphysics.files.wordpress.com/2023/01/image-486.png?w=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xmphysics.files.wordpress.com/2023/01/image-486.png?w=4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0970" cy="3241675"/>
                    </a:xfrm>
                    <a:prstGeom prst="rect">
                      <a:avLst/>
                    </a:prstGeom>
                    <a:noFill/>
                    <a:ln>
                      <a:noFill/>
                    </a:ln>
                  </pic:spPr>
                </pic:pic>
              </a:graphicData>
            </a:graphic>
          </wp:inline>
        </w:drawing>
      </w:r>
    </w:p>
    <w:p w14:paraId="68D06BD4" w14:textId="77777777" w:rsidR="00960D7A" w:rsidRPr="0085025B" w:rsidRDefault="00960D7A" w:rsidP="00035286">
      <w:pPr>
        <w:jc w:val="center"/>
      </w:pPr>
    </w:p>
    <w:p w14:paraId="1EC58D24" w14:textId="77777777" w:rsidR="00BA2A2C" w:rsidRDefault="00960D7A" w:rsidP="00522334">
      <w:pPr>
        <w:pStyle w:val="Nadpis1"/>
      </w:pPr>
      <w:bookmarkStart w:id="7" w:name="_Toc211009938"/>
      <w:r>
        <w:rPr>
          <w:noProof/>
        </w:rPr>
        <w:lastRenderedPageBreak/>
        <w:drawing>
          <wp:inline distT="0" distB="0" distL="0" distR="0" wp14:anchorId="292B70D3" wp14:editId="02942786">
            <wp:extent cx="6019800" cy="2960370"/>
            <wp:effectExtent l="0" t="0" r="0" b="0"/>
            <wp:docPr id="12" name="Obrázek 12" descr="https://sites.ualberta.ca/~pogosyan/teaching/ASTRO_122/lect5/figure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ites.ualberta.ca/~pogosyan/teaching/ASTRO_122/lect5/figure05-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2960370"/>
                    </a:xfrm>
                    <a:prstGeom prst="rect">
                      <a:avLst/>
                    </a:prstGeom>
                    <a:noFill/>
                    <a:ln>
                      <a:noFill/>
                    </a:ln>
                  </pic:spPr>
                </pic:pic>
              </a:graphicData>
            </a:graphic>
          </wp:inline>
        </w:drawing>
      </w:r>
    </w:p>
    <w:p w14:paraId="1BC471DA" w14:textId="77777777" w:rsidR="00110D75" w:rsidRDefault="00110D75" w:rsidP="00522334">
      <w:pPr>
        <w:pStyle w:val="Nadpis1"/>
      </w:pPr>
      <w:r>
        <w:t>Vývoj názorů na stavbu atomu</w:t>
      </w:r>
      <w:bookmarkEnd w:id="7"/>
    </w:p>
    <w:p w14:paraId="5A506E84" w14:textId="77777777" w:rsidR="00110D75" w:rsidRDefault="00B1440B" w:rsidP="00110D75">
      <w:r>
        <w:t xml:space="preserve">Atomy byly původně </w:t>
      </w:r>
      <w:r w:rsidRPr="0062586E">
        <w:t>zavedeny jako dále nedělitelné částečky hmoty. Na konci 19</w:t>
      </w:r>
      <w:r w:rsidR="0062586E" w:rsidRPr="0062586E">
        <w:t>.</w:t>
      </w:r>
      <w:r w:rsidRPr="0062586E">
        <w:t xml:space="preserve"> století byla však objevena částice se záporným nábojem (elektron) a bylo také zjištěno, že se může uvolnit z atomu. Na základě těchto objevů byl formulován Thomsonův model. Ten předpokládal, že h</w:t>
      </w:r>
      <w:r w:rsidR="00110D75" w:rsidRPr="0062586E">
        <w:t xml:space="preserve">mota a kladný náboj jsou rozprostřeny rovnoměrně po celém objemu </w:t>
      </w:r>
      <w:r w:rsidR="00CF3133">
        <w:t>atomu</w:t>
      </w:r>
      <w:r w:rsidR="00110D75" w:rsidRPr="0062586E">
        <w:t xml:space="preserve">. Uvnitř </w:t>
      </w:r>
      <w:r w:rsidR="000D0748">
        <w:t>atomu</w:t>
      </w:r>
      <w:r w:rsidR="00110D75" w:rsidRPr="0062586E">
        <w:t xml:space="preserve"> jsou</w:t>
      </w:r>
      <w:r w:rsidR="00110D75">
        <w:t xml:space="preserve"> (podobně jako rozinky v pudinku) lokalizovány téměř bodové nosiče záporného náboje – elektrony.</w:t>
      </w:r>
    </w:p>
    <w:p w14:paraId="5AACB23E" w14:textId="77777777" w:rsidR="00522334" w:rsidRDefault="00522334" w:rsidP="00B1440B"/>
    <w:p w14:paraId="2E3ECAC4" w14:textId="77777777" w:rsidR="004B5F63" w:rsidRDefault="00B1440B" w:rsidP="004B5F63">
      <w:r>
        <w:t>Kolem roku 1911 provedl Rutherford experimenty, při kterých ostřeloval atomy některých kovů (v podobě tenk</w:t>
      </w:r>
      <w:r w:rsidR="004F3205">
        <w:t xml:space="preserve">ých </w:t>
      </w:r>
      <w:r>
        <w:t>fóli</w:t>
      </w:r>
      <w:r w:rsidR="004F3205">
        <w:t>í</w:t>
      </w:r>
      <w:r>
        <w:t>) α částicemi radioaktivního záření, a sledoval jejich rozptyl (odchýlení od původního směru). Výsledky pokusů ukázaly, že hmota není rozprostřena spojitě, ale je lokalizována do velmi malých míst (jader atomů). Podle Rutherforda jsou tedy h</w:t>
      </w:r>
      <w:r w:rsidR="00110D75">
        <w:t>mota a kladný náboj soustředěny v jádře a kolem něj obíhají elektrony podobně jako planety kolem Slunce.</w:t>
      </w:r>
    </w:p>
    <w:p w14:paraId="39F59DAA" w14:textId="77777777" w:rsidR="004B5F63" w:rsidRDefault="004B5F63" w:rsidP="004B5F63"/>
    <w:p w14:paraId="1EAE6225" w14:textId="77777777" w:rsidR="00A44322" w:rsidRDefault="004B5F63" w:rsidP="00110D75">
      <w:r>
        <w:t>Podle poznatků z elektřiny a magnetismu, každé nabité těleso, které se pohybuje po kružnici (tedy se zrychlením), vyzařuje elektromagnetické záření, a proto snižuje svoji energii. Toto však nebylo u elektronu pohybujícího se kolem jádra pozorováno. S elektrony v elektronovém obalu atomů je to složit</w:t>
      </w:r>
      <w:r w:rsidR="00BD775C">
        <w:t>ější</w:t>
      </w:r>
      <w:r>
        <w:t xml:space="preserve">. Už víme, že za určitých okolností lze nahlížet na elementární částici jako na vlnu. Fyzik Niels Bohr </w:t>
      </w:r>
      <w:r w:rsidR="004F3205">
        <w:t>ve svých úvahách použil tento pohled a přirovnal elektron ke struně napnuté například na kytaře. Struna na kytaře nevydává tón libovolné frekvence, ale jen frekvence, které jsou násobkem základní fre</w:t>
      </w:r>
      <w:r w:rsidR="004F3205" w:rsidRPr="0062586E">
        <w:t>kvence. Základní frekvence struny je dána délkou struny a rychlostí šíření zvuku ve struně.</w:t>
      </w:r>
      <w:r w:rsidR="004F3205">
        <w:t xml:space="preserve"> Bohr </w:t>
      </w:r>
      <w:r w:rsidR="004F3205" w:rsidRPr="00D27F3E">
        <w:t>postuloval, že moment hybnosti elektronů</w:t>
      </w:r>
      <w:r w:rsidR="004F3205">
        <w:t xml:space="preserve"> vázaných v atomu může nabývat také jen určitých hodnot, které jsou násobkem základní hodnoty (tj. moment hybnosti je kvantován). Následně odvodil, že i energie elektronu může nabývat jen hodnot daných vztahem </w:t>
      </w:r>
      <w:r w:rsidR="004F3205" w:rsidRPr="00CC736F">
        <w:rPr>
          <w:i/>
        </w:rPr>
        <w:t>E=E</w:t>
      </w:r>
      <w:r w:rsidR="004F3205" w:rsidRPr="00CC736F">
        <w:rPr>
          <w:i/>
          <w:vertAlign w:val="subscript"/>
        </w:rPr>
        <w:t>1</w:t>
      </w:r>
      <w:r w:rsidR="004F3205" w:rsidRPr="00CC736F">
        <w:rPr>
          <w:i/>
        </w:rPr>
        <w:t>/n</w:t>
      </w:r>
      <w:r w:rsidR="004F3205" w:rsidRPr="00CC736F">
        <w:rPr>
          <w:i/>
          <w:vertAlign w:val="superscript"/>
        </w:rPr>
        <w:t>2</w:t>
      </w:r>
      <w:r w:rsidR="004F3205">
        <w:rPr>
          <w:i/>
        </w:rPr>
        <w:t xml:space="preserve">, </w:t>
      </w:r>
      <w:r w:rsidR="004F3205" w:rsidRPr="004F3205">
        <w:t>kde</w:t>
      </w:r>
      <w:r w:rsidR="004F3205">
        <w:t xml:space="preserve"> </w:t>
      </w:r>
      <w:r w:rsidR="004F3205">
        <w:rPr>
          <w:i/>
        </w:rPr>
        <w:t>E</w:t>
      </w:r>
      <w:r w:rsidR="004F3205">
        <w:rPr>
          <w:i/>
          <w:vertAlign w:val="subscript"/>
        </w:rPr>
        <w:t>1</w:t>
      </w:r>
      <w:r w:rsidR="004F3205">
        <w:t xml:space="preserve"> je energie základní hladiny (v případě atomu vodíku </w:t>
      </w:r>
      <w:r w:rsidR="004F3205">
        <w:rPr>
          <w:i/>
        </w:rPr>
        <w:t>E</w:t>
      </w:r>
      <w:r w:rsidR="004F3205">
        <w:rPr>
          <w:i/>
          <w:vertAlign w:val="subscript"/>
        </w:rPr>
        <w:t xml:space="preserve">1 </w:t>
      </w:r>
      <w:r w:rsidR="004F3205">
        <w:t>= –13,6eV)</w:t>
      </w:r>
      <w:r w:rsidR="004F3205">
        <w:rPr>
          <w:i/>
        </w:rPr>
        <w:t xml:space="preserve"> </w:t>
      </w:r>
      <w:r w:rsidR="004F3205">
        <w:t xml:space="preserve">a </w:t>
      </w:r>
      <w:r w:rsidR="004F3205" w:rsidRPr="00BD775C">
        <w:rPr>
          <w:i/>
        </w:rPr>
        <w:t>n</w:t>
      </w:r>
      <w:r w:rsidR="004F3205">
        <w:t xml:space="preserve"> je přirozené číslo, tzv. hlavní kvantové číslo.</w:t>
      </w:r>
      <w:r w:rsidR="00BD775C">
        <w:t xml:space="preserve"> </w:t>
      </w:r>
      <w:r w:rsidR="00110D75">
        <w:t>Při pohybu elektrony nevysílají elektromagnetické záření. Při přechodu z dráhy s vyšší energií na dráhu s nižší energií je vyslán foton s energií rovnou rozdílu energií těchto hladin.</w:t>
      </w:r>
    </w:p>
    <w:p w14:paraId="22F7E1B0" w14:textId="77777777" w:rsidR="003A7508" w:rsidRDefault="003A7508" w:rsidP="00110D75"/>
    <w:p w14:paraId="1A99D1EA" w14:textId="610CA198" w:rsidR="00A54022" w:rsidRDefault="00A54022" w:rsidP="00E819DD">
      <w:r>
        <w:t xml:space="preserve">Bohrův model velmi dobře vysvětluje pozorované spektrum atomu vodíku. Jde o spektrum emisní. Ve viditelné části spektra se nacházejí čtyři dobře pozorovatelné čáry. Vznikají při přechodu elektronu z vyšších excitovaných stavů (hladin) na druhou hladinu. Ověřme to výpočtem. </w:t>
      </w:r>
      <m:oMath>
        <m:r>
          <w:rPr>
            <w:rFonts w:ascii="Cambria Math"/>
          </w:rPr>
          <m:t>ΔE=</m:t>
        </m:r>
        <m:r>
          <w:rPr>
            <w:rFonts w:ascii="Cambria Math"/>
          </w:rPr>
          <m:t>h</m:t>
        </m:r>
        <m:r>
          <w:rPr>
            <w:rFonts w:ascii="Cambria Math"/>
          </w:rPr>
          <m:t>f=</m:t>
        </m:r>
        <m:r>
          <w:rPr>
            <w:rFonts w:ascii="Cambria Math"/>
          </w:rPr>
          <m:t>h</m:t>
        </m:r>
        <m:f>
          <m:fPr>
            <m:ctrlPr>
              <w:rPr>
                <w:rFonts w:ascii="Cambria Math" w:hAnsi="Cambria Math"/>
                <w:i/>
              </w:rPr>
            </m:ctrlPr>
          </m:fPr>
          <m:num>
            <m:r>
              <w:rPr>
                <w:rFonts w:ascii="Cambria Math"/>
              </w:rPr>
              <m:t>c</m:t>
            </m:r>
          </m:num>
          <m:den>
            <m:r>
              <w:rPr>
                <w:rFonts w:ascii="Cambria Math"/>
              </w:rPr>
              <m:t>λ</m:t>
            </m:r>
          </m:den>
        </m:f>
      </m:oMath>
      <w:r>
        <w:fldChar w:fldCharType="begin"/>
      </w:r>
      <w:r>
        <w:instrText xml:space="preserve"> QUOTE </w:instrText>
      </w:r>
      <w:r w:rsidR="00544392">
        <w:rPr>
          <w:noProof/>
          <w:position w:val="-14"/>
        </w:rPr>
        <mc:AlternateContent>
          <mc:Choice Requires="wps">
            <w:drawing>
              <wp:inline distT="0" distB="0" distL="0" distR="0" wp14:anchorId="53EE7586" wp14:editId="7E1F76D9">
                <wp:extent cx="943610" cy="246380"/>
                <wp:effectExtent l="0" t="0" r="0" b="0"/>
                <wp:docPr id="3"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36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76414ACF" id="AutoShape 21" o:spid="_x0000_s1026" style="width:74.3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" filled="f" stroked="f">
                <o:lock v:ext="edit" aspectratio="t"/>
                <w10:anchorlock/>
              </v:rect>
            </w:pict>
          </mc:Fallback>
        </mc:AlternateContent>
      </w:r>
      <w:r>
        <w:instrText xml:space="preserve"> </w:instrText>
      </w:r>
      <w:r>
        <w:fldChar w:fldCharType="end"/>
      </w:r>
      <w:r>
        <w:t xml:space="preserve"> , z toho </w:t>
      </w:r>
      <m:oMath>
        <m:r>
          <w:rPr>
            <w:rFonts w:ascii="Cambria Math"/>
          </w:rPr>
          <m:t>λ=</m:t>
        </m:r>
        <m:r>
          <w:rPr>
            <w:rFonts w:ascii="Cambria Math"/>
          </w:rPr>
          <m:t>h</m:t>
        </m:r>
        <m:f>
          <m:fPr>
            <m:ctrlPr>
              <w:rPr>
                <w:rFonts w:ascii="Cambria Math" w:hAnsi="Cambria Math"/>
                <w:i/>
              </w:rPr>
            </m:ctrlPr>
          </m:fPr>
          <m:num>
            <m:r>
              <w:rPr>
                <w:rFonts w:ascii="Cambria Math"/>
              </w:rPr>
              <m:t>c</m:t>
            </m:r>
          </m:num>
          <m:den>
            <m:r>
              <w:rPr>
                <w:rFonts w:ascii="Cambria Math"/>
              </w:rPr>
              <m:t>ΔE</m:t>
            </m:r>
          </m:den>
        </m:f>
      </m:oMath>
      <w:r>
        <w:fldChar w:fldCharType="begin"/>
      </w:r>
      <w:r>
        <w:instrText xml:space="preserve"> QUOTE </w:instrText>
      </w:r>
      <w:r w:rsidR="00544392">
        <w:rPr>
          <w:noProof/>
          <w:position w:val="-14"/>
        </w:rPr>
        <mc:AlternateContent>
          <mc:Choice Requires="wps">
            <w:drawing>
              <wp:inline distT="0" distB="0" distL="0" distR="0" wp14:anchorId="083DF567" wp14:editId="4BFC1356">
                <wp:extent cx="533400" cy="240030"/>
                <wp:effectExtent l="0" t="0" r="0" b="0"/>
                <wp:docPr id="2"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33DB6C97" id="AutoShape 23" o:spid="_x0000_s1026" style="width:42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" filled="f" stroked="f">
                <o:lock v:ext="edit" aspectratio="t"/>
                <w10:anchorlock/>
              </v:rect>
            </w:pict>
          </mc:Fallback>
        </mc:AlternateContent>
      </w:r>
      <w:r>
        <w:instrText xml:space="preserve"> </w:instrText>
      </w:r>
      <w:r>
        <w:fldChar w:fldCharType="end"/>
      </w:r>
      <w:r>
        <w:t xml:space="preserve">, kde </w:t>
      </w:r>
      <m:oMath>
        <m:r>
          <w:rPr>
            <w:rFonts w:ascii="Cambria Math"/>
          </w:rPr>
          <m:t>ΔE=</m:t>
        </m:r>
        <m:f>
          <m:fPr>
            <m:ctrlPr>
              <w:rPr>
                <w:rFonts w:ascii="Cambria Math" w:hAnsi="Cambria Math"/>
                <w:i/>
              </w:rPr>
            </m:ctrlPr>
          </m:fPr>
          <m:num>
            <m:sSub>
              <m:sSubPr>
                <m:ctrlPr>
                  <w:rPr>
                    <w:rFonts w:ascii="Cambria Math" w:hAnsi="Cambria Math"/>
                    <w:i/>
                  </w:rPr>
                </m:ctrlPr>
              </m:sSubPr>
              <m:e>
                <m:r>
                  <w:rPr>
                    <w:rFonts w:ascii="Cambria Math"/>
                  </w:rPr>
                  <m:t>E</m:t>
                </m:r>
              </m:e>
              <m:sub>
                <m:r>
                  <w:rPr>
                    <w:rFonts w:ascii="Cambria Math"/>
                  </w:rPr>
                  <m:t>1</m:t>
                </m:r>
              </m:sub>
            </m:sSub>
          </m:num>
          <m:den>
            <m:sSup>
              <m:sSupPr>
                <m:ctrlPr>
                  <w:rPr>
                    <w:rFonts w:ascii="Cambria Math" w:hAnsi="Cambria Math"/>
                    <w:i/>
                  </w:rPr>
                </m:ctrlPr>
              </m:sSupPr>
              <m:e>
                <m:r>
                  <w:rPr>
                    <w:rFonts w:ascii="Cambria Math"/>
                  </w:rPr>
                  <m:t>m</m:t>
                </m:r>
              </m:e>
              <m:sup>
                <m:r>
                  <w:rPr>
                    <w:rFonts w:ascii="Cambria Math"/>
                  </w:rPr>
                  <m:t>2</m:t>
                </m:r>
              </m:sup>
            </m:sSup>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E</m:t>
                </m:r>
              </m:e>
              <m:sub>
                <m:r>
                  <w:rPr>
                    <w:rFonts w:ascii="Cambria Math"/>
                  </w:rPr>
                  <m:t>1</m:t>
                </m:r>
              </m:sub>
            </m:sSub>
          </m:num>
          <m:den>
            <m:sSup>
              <m:sSupPr>
                <m:ctrlPr>
                  <w:rPr>
                    <w:rFonts w:ascii="Cambria Math" w:hAnsi="Cambria Math"/>
                    <w:i/>
                  </w:rPr>
                </m:ctrlPr>
              </m:sSupPr>
              <m:e>
                <m:r>
                  <w:rPr>
                    <w:rFonts w:ascii="Cambria Math"/>
                  </w:rPr>
                  <m:t>n</m:t>
                </m:r>
              </m:e>
              <m:sup>
                <m:r>
                  <w:rPr>
                    <w:rFonts w:ascii="Cambria Math"/>
                  </w:rPr>
                  <m:t>2</m:t>
                </m:r>
              </m:sup>
            </m:sSup>
          </m:den>
        </m:f>
        <m:r>
          <w:rPr>
            <w:rFonts w:ascii="Cambria Math"/>
          </w:rPr>
          <m:t>=</m:t>
        </m:r>
        <m:sSub>
          <m:sSubPr>
            <m:ctrlPr>
              <w:rPr>
                <w:rFonts w:ascii="Cambria Math" w:hAnsi="Cambria Math"/>
                <w:i/>
              </w:rPr>
            </m:ctrlPr>
          </m:sSubPr>
          <m:e>
            <m:r>
              <w:rPr>
                <w:rFonts w:ascii="Cambria Math"/>
              </w:rPr>
              <m:t>E</m:t>
            </m:r>
          </m:e>
          <m:sub>
            <m:r>
              <w:rPr>
                <w:rFonts w:ascii="Cambria Math"/>
              </w:rPr>
              <m:t>1</m:t>
            </m:r>
          </m:sub>
        </m:sSub>
        <m:f>
          <m:fPr>
            <m:ctrlPr>
              <w:rPr>
                <w:rFonts w:ascii="Cambria Math" w:hAnsi="Cambria Math"/>
                <w:i/>
              </w:rPr>
            </m:ctrlPr>
          </m:fPr>
          <m:num>
            <m:sSup>
              <m:sSupPr>
                <m:ctrlPr>
                  <w:rPr>
                    <w:rFonts w:ascii="Cambria Math" w:hAnsi="Cambria Math"/>
                    <w:i/>
                  </w:rPr>
                </m:ctrlPr>
              </m:sSupPr>
              <m:e>
                <m:r>
                  <w:rPr>
                    <w:rFonts w:ascii="Cambria Math"/>
                  </w:rPr>
                  <m:t>n</m:t>
                </m:r>
              </m:e>
              <m:sup>
                <m:r>
                  <w:rPr>
                    <w:rFonts w:ascii="Cambria Math"/>
                  </w:rPr>
                  <m:t>2</m:t>
                </m:r>
              </m:sup>
            </m:sSup>
            <m:r>
              <w:rPr>
                <w:rFonts w:ascii="Cambria Math"/>
              </w:rPr>
              <m:t>-</m:t>
            </m:r>
            <m:sSup>
              <m:sSupPr>
                <m:ctrlPr>
                  <w:rPr>
                    <w:rFonts w:ascii="Cambria Math" w:hAnsi="Cambria Math"/>
                    <w:i/>
                  </w:rPr>
                </m:ctrlPr>
              </m:sSupPr>
              <m:e>
                <m:r>
                  <w:rPr>
                    <w:rFonts w:ascii="Cambria Math"/>
                  </w:rPr>
                  <m:t>m</m:t>
                </m:r>
              </m:e>
              <m:sup>
                <m:r>
                  <w:rPr>
                    <w:rFonts w:ascii="Cambria Math"/>
                  </w:rPr>
                  <m:t>2</m:t>
                </m:r>
              </m:sup>
            </m:sSup>
          </m:num>
          <m:den>
            <m:sSup>
              <m:sSupPr>
                <m:ctrlPr>
                  <w:rPr>
                    <w:rFonts w:ascii="Cambria Math" w:hAnsi="Cambria Math"/>
                    <w:i/>
                  </w:rPr>
                </m:ctrlPr>
              </m:sSupPr>
              <m:e>
                <m:r>
                  <w:rPr>
                    <w:rFonts w:ascii="Cambria Math"/>
                  </w:rPr>
                  <m:t>m</m:t>
                </m:r>
              </m:e>
              <m:sup>
                <m:r>
                  <w:rPr>
                    <w:rFonts w:ascii="Cambria Math"/>
                  </w:rPr>
                  <m:t>2</m:t>
                </m:r>
              </m:sup>
            </m:sSup>
            <m:sSup>
              <m:sSupPr>
                <m:ctrlPr>
                  <w:rPr>
                    <w:rFonts w:ascii="Cambria Math" w:hAnsi="Cambria Math"/>
                    <w:i/>
                  </w:rPr>
                </m:ctrlPr>
              </m:sSupPr>
              <m:e>
                <m:r>
                  <w:rPr>
                    <w:rFonts w:ascii="Cambria Math"/>
                  </w:rPr>
                  <m:t>n</m:t>
                </m:r>
              </m:e>
              <m:sup>
                <m:r>
                  <w:rPr>
                    <w:rFonts w:ascii="Cambria Math"/>
                  </w:rPr>
                  <m:t>2</m:t>
                </m:r>
              </m:sup>
            </m:sSup>
          </m:den>
        </m:f>
      </m:oMath>
      <w:r>
        <w:fldChar w:fldCharType="begin"/>
      </w:r>
      <w:r>
        <w:instrText xml:space="preserve"> QUOTE </w:instrText>
      </w:r>
      <w:r w:rsidR="00544392">
        <w:rPr>
          <w:noProof/>
          <w:position w:val="-14"/>
        </w:rPr>
        <mc:AlternateContent>
          <mc:Choice Requires="wps">
            <w:drawing>
              <wp:inline distT="0" distB="0" distL="0" distR="0" wp14:anchorId="335E62D7" wp14:editId="47029A43">
                <wp:extent cx="1611630" cy="287020"/>
                <wp:effectExtent l="0" t="0" r="0" b="0"/>
                <wp:docPr id="1"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16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6A28E6DD" id="AutoShape 24" o:spid="_x0000_s1026" style="width:126.9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" filled="f" stroked="f">
                <o:lock v:ext="edit" aspectratio="t"/>
                <w10:anchorlock/>
              </v:rect>
            </w:pict>
          </mc:Fallback>
        </mc:AlternateContent>
      </w:r>
      <w:r>
        <w:instrText xml:space="preserve"> </w:instrText>
      </w:r>
      <w:r>
        <w:fldChar w:fldCharType="end"/>
      </w:r>
      <w:r>
        <w:t>. Pro atom vodíku je E</w:t>
      </w:r>
      <w:r>
        <w:rPr>
          <w:vertAlign w:val="subscript"/>
        </w:rPr>
        <w:t>1</w:t>
      </w:r>
      <w:r>
        <w:t>= –13,6eV= –2,188.10</w:t>
      </w:r>
      <w:r>
        <w:rPr>
          <w:vertAlign w:val="superscript"/>
        </w:rPr>
        <w:t>–18</w:t>
      </w:r>
      <w:r>
        <w:t>J. V tabulce jsou uvedeny výsledky pro přechody na první, druhou a třetí hladinu.</w:t>
      </w:r>
    </w:p>
    <w:p w14:paraId="1A16C199" w14:textId="77777777" w:rsidR="00A54022" w:rsidRDefault="00A54022" w:rsidP="00110D75"/>
    <w:tbl>
      <w:tblPr>
        <w:tblW w:w="8460" w:type="dxa"/>
        <w:tblInd w:w="60" w:type="dxa"/>
        <w:tblCellMar>
          <w:left w:w="70" w:type="dxa"/>
          <w:right w:w="70" w:type="dxa"/>
        </w:tblCellMar>
        <w:tblLook w:val="0000" w:firstRow="0" w:lastRow="0" w:firstColumn="0" w:lastColumn="0" w:noHBand="0" w:noVBand="0"/>
      </w:tblPr>
      <w:tblGrid>
        <w:gridCol w:w="500"/>
        <w:gridCol w:w="500"/>
        <w:gridCol w:w="960"/>
        <w:gridCol w:w="960"/>
        <w:gridCol w:w="960"/>
        <w:gridCol w:w="1280"/>
        <w:gridCol w:w="1280"/>
        <w:gridCol w:w="1060"/>
        <w:gridCol w:w="1019"/>
      </w:tblGrid>
      <w:tr w:rsidR="009B7D21" w14:paraId="1CF710D5" w14:textId="77777777" w:rsidTr="009B7D21">
        <w:trPr>
          <w:trHeight w:val="390"/>
        </w:trPr>
        <w:tc>
          <w:tcPr>
            <w:tcW w:w="500" w:type="dxa"/>
            <w:tcBorders>
              <w:top w:val="single" w:sz="8" w:space="0" w:color="auto"/>
              <w:left w:val="single" w:sz="8" w:space="0" w:color="auto"/>
              <w:bottom w:val="nil"/>
              <w:right w:val="single" w:sz="4" w:space="0" w:color="auto"/>
            </w:tcBorders>
            <w:shd w:val="clear" w:color="auto" w:fill="auto"/>
            <w:noWrap/>
            <w:vAlign w:val="bottom"/>
          </w:tcPr>
          <w:p w14:paraId="760DB7E9" w14:textId="77777777" w:rsidR="009B7D21" w:rsidRDefault="009B7D21">
            <w:pPr>
              <w:jc w:val="center"/>
              <w:rPr>
                <w:rFonts w:ascii="Arial" w:hAnsi="Arial" w:cs="Arial"/>
                <w:b/>
                <w:bCs/>
              </w:rPr>
            </w:pPr>
            <w:r>
              <w:rPr>
                <w:rFonts w:ascii="Arial" w:hAnsi="Arial" w:cs="Arial"/>
                <w:b/>
                <w:bCs/>
              </w:rPr>
              <w:t>n</w:t>
            </w:r>
          </w:p>
        </w:tc>
        <w:tc>
          <w:tcPr>
            <w:tcW w:w="500" w:type="dxa"/>
            <w:tcBorders>
              <w:top w:val="single" w:sz="8" w:space="0" w:color="auto"/>
              <w:left w:val="nil"/>
              <w:bottom w:val="nil"/>
              <w:right w:val="single" w:sz="4" w:space="0" w:color="auto"/>
            </w:tcBorders>
            <w:shd w:val="clear" w:color="auto" w:fill="auto"/>
            <w:noWrap/>
            <w:vAlign w:val="bottom"/>
          </w:tcPr>
          <w:p w14:paraId="075561BB" w14:textId="77777777" w:rsidR="009B7D21" w:rsidRDefault="009B7D21">
            <w:pPr>
              <w:jc w:val="center"/>
              <w:rPr>
                <w:rFonts w:ascii="Arial" w:hAnsi="Arial" w:cs="Arial"/>
                <w:b/>
                <w:bCs/>
              </w:rPr>
            </w:pPr>
            <w:r>
              <w:rPr>
                <w:rFonts w:ascii="Arial" w:hAnsi="Arial" w:cs="Arial"/>
                <w:b/>
                <w:bCs/>
              </w:rPr>
              <w:t>m</w:t>
            </w:r>
          </w:p>
        </w:tc>
        <w:tc>
          <w:tcPr>
            <w:tcW w:w="960" w:type="dxa"/>
            <w:tcBorders>
              <w:top w:val="single" w:sz="8" w:space="0" w:color="auto"/>
              <w:left w:val="nil"/>
              <w:bottom w:val="nil"/>
              <w:right w:val="single" w:sz="4" w:space="0" w:color="auto"/>
            </w:tcBorders>
            <w:shd w:val="clear" w:color="auto" w:fill="auto"/>
            <w:noWrap/>
            <w:vAlign w:val="bottom"/>
          </w:tcPr>
          <w:p w14:paraId="7192EE9D" w14:textId="77777777" w:rsidR="009B7D21" w:rsidRDefault="009B7D21">
            <w:pPr>
              <w:jc w:val="center"/>
              <w:rPr>
                <w:rFonts w:ascii="Arial" w:hAnsi="Arial" w:cs="Arial"/>
                <w:b/>
                <w:bCs/>
              </w:rPr>
            </w:pPr>
            <w:r>
              <w:rPr>
                <w:rFonts w:ascii="Arial" w:hAnsi="Arial" w:cs="Arial"/>
                <w:b/>
                <w:bCs/>
              </w:rPr>
              <w:t>E</w:t>
            </w:r>
            <w:r>
              <w:rPr>
                <w:rFonts w:ascii="Arial" w:hAnsi="Arial" w:cs="Arial"/>
                <w:b/>
                <w:bCs/>
                <w:vertAlign w:val="subscript"/>
              </w:rPr>
              <w:t>n</w:t>
            </w:r>
          </w:p>
        </w:tc>
        <w:tc>
          <w:tcPr>
            <w:tcW w:w="960" w:type="dxa"/>
            <w:tcBorders>
              <w:top w:val="single" w:sz="8" w:space="0" w:color="auto"/>
              <w:left w:val="nil"/>
              <w:bottom w:val="nil"/>
              <w:right w:val="single" w:sz="4" w:space="0" w:color="auto"/>
            </w:tcBorders>
            <w:shd w:val="clear" w:color="auto" w:fill="auto"/>
            <w:noWrap/>
            <w:vAlign w:val="bottom"/>
          </w:tcPr>
          <w:p w14:paraId="2CD8F945" w14:textId="77777777" w:rsidR="009B7D21" w:rsidRDefault="009B7D21">
            <w:pPr>
              <w:jc w:val="center"/>
              <w:rPr>
                <w:rFonts w:ascii="Arial" w:hAnsi="Arial" w:cs="Arial"/>
                <w:b/>
                <w:bCs/>
              </w:rPr>
            </w:pPr>
            <w:r>
              <w:rPr>
                <w:rFonts w:ascii="Arial" w:hAnsi="Arial" w:cs="Arial"/>
                <w:b/>
                <w:bCs/>
              </w:rPr>
              <w:t>E</w:t>
            </w:r>
            <w:r>
              <w:rPr>
                <w:rFonts w:ascii="Arial" w:hAnsi="Arial" w:cs="Arial"/>
                <w:b/>
                <w:bCs/>
                <w:vertAlign w:val="subscript"/>
              </w:rPr>
              <w:t>m</w:t>
            </w:r>
          </w:p>
        </w:tc>
        <w:tc>
          <w:tcPr>
            <w:tcW w:w="960" w:type="dxa"/>
            <w:tcBorders>
              <w:top w:val="single" w:sz="8" w:space="0" w:color="auto"/>
              <w:left w:val="nil"/>
              <w:bottom w:val="nil"/>
              <w:right w:val="single" w:sz="4" w:space="0" w:color="auto"/>
            </w:tcBorders>
            <w:shd w:val="clear" w:color="auto" w:fill="auto"/>
            <w:noWrap/>
            <w:vAlign w:val="bottom"/>
          </w:tcPr>
          <w:p w14:paraId="1ADF85D7" w14:textId="77777777" w:rsidR="009B7D21" w:rsidRDefault="009B7D21">
            <w:pPr>
              <w:jc w:val="center"/>
              <w:rPr>
                <w:rFonts w:ascii="Arial" w:hAnsi="Arial" w:cs="Arial"/>
                <w:b/>
                <w:bCs/>
              </w:rPr>
            </w:pPr>
            <w:r>
              <w:rPr>
                <w:rFonts w:ascii="Arial" w:hAnsi="Arial" w:cs="Arial"/>
                <w:b/>
                <w:bCs/>
              </w:rPr>
              <w:t>ΔE/eV</w:t>
            </w:r>
          </w:p>
        </w:tc>
        <w:tc>
          <w:tcPr>
            <w:tcW w:w="1280" w:type="dxa"/>
            <w:tcBorders>
              <w:top w:val="single" w:sz="8" w:space="0" w:color="auto"/>
              <w:left w:val="nil"/>
              <w:bottom w:val="nil"/>
              <w:right w:val="single" w:sz="4" w:space="0" w:color="auto"/>
            </w:tcBorders>
            <w:shd w:val="clear" w:color="auto" w:fill="auto"/>
            <w:noWrap/>
            <w:vAlign w:val="bottom"/>
          </w:tcPr>
          <w:p w14:paraId="0C1E3E4F" w14:textId="77777777" w:rsidR="009B7D21" w:rsidRDefault="009B7D21">
            <w:pPr>
              <w:jc w:val="center"/>
              <w:rPr>
                <w:rFonts w:ascii="Arial" w:hAnsi="Arial" w:cs="Arial"/>
                <w:b/>
                <w:bCs/>
              </w:rPr>
            </w:pPr>
            <w:r>
              <w:rPr>
                <w:rFonts w:ascii="Arial" w:hAnsi="Arial" w:cs="Arial"/>
                <w:b/>
                <w:bCs/>
              </w:rPr>
              <w:t>ΔE/J</w:t>
            </w:r>
          </w:p>
        </w:tc>
        <w:tc>
          <w:tcPr>
            <w:tcW w:w="1280" w:type="dxa"/>
            <w:tcBorders>
              <w:top w:val="single" w:sz="8" w:space="0" w:color="auto"/>
              <w:left w:val="nil"/>
              <w:bottom w:val="nil"/>
              <w:right w:val="single" w:sz="4" w:space="0" w:color="auto"/>
            </w:tcBorders>
            <w:shd w:val="clear" w:color="auto" w:fill="auto"/>
            <w:noWrap/>
            <w:vAlign w:val="bottom"/>
          </w:tcPr>
          <w:p w14:paraId="7F490ED3" w14:textId="77777777" w:rsidR="009B7D21" w:rsidRDefault="009B7D21">
            <w:pPr>
              <w:jc w:val="center"/>
              <w:rPr>
                <w:rFonts w:ascii="Arial" w:hAnsi="Arial" w:cs="Arial"/>
                <w:b/>
                <w:bCs/>
              </w:rPr>
            </w:pPr>
            <w:r>
              <w:rPr>
                <w:rFonts w:ascii="Arial" w:hAnsi="Arial" w:cs="Arial"/>
                <w:b/>
                <w:bCs/>
              </w:rPr>
              <w:t>λ/m</w:t>
            </w:r>
          </w:p>
        </w:tc>
        <w:tc>
          <w:tcPr>
            <w:tcW w:w="1060" w:type="dxa"/>
            <w:tcBorders>
              <w:top w:val="single" w:sz="8" w:space="0" w:color="auto"/>
              <w:left w:val="nil"/>
              <w:bottom w:val="nil"/>
              <w:right w:val="single" w:sz="4" w:space="0" w:color="auto"/>
            </w:tcBorders>
            <w:shd w:val="clear" w:color="auto" w:fill="auto"/>
            <w:noWrap/>
            <w:vAlign w:val="bottom"/>
          </w:tcPr>
          <w:p w14:paraId="30CAA259" w14:textId="77777777" w:rsidR="009B7D21" w:rsidRDefault="009B7D21">
            <w:pPr>
              <w:jc w:val="center"/>
              <w:rPr>
                <w:rFonts w:ascii="Arial" w:hAnsi="Arial" w:cs="Arial"/>
                <w:b/>
                <w:bCs/>
              </w:rPr>
            </w:pPr>
            <w:r>
              <w:rPr>
                <w:rFonts w:ascii="Arial" w:hAnsi="Arial" w:cs="Arial"/>
                <w:b/>
                <w:bCs/>
              </w:rPr>
              <w:t>λ/nm</w:t>
            </w:r>
          </w:p>
        </w:tc>
        <w:tc>
          <w:tcPr>
            <w:tcW w:w="960" w:type="dxa"/>
            <w:tcBorders>
              <w:top w:val="single" w:sz="8" w:space="0" w:color="auto"/>
              <w:left w:val="nil"/>
              <w:bottom w:val="nil"/>
              <w:right w:val="single" w:sz="8" w:space="0" w:color="auto"/>
            </w:tcBorders>
            <w:shd w:val="clear" w:color="auto" w:fill="auto"/>
            <w:noWrap/>
            <w:vAlign w:val="bottom"/>
          </w:tcPr>
          <w:p w14:paraId="68C3072C" w14:textId="77777777" w:rsidR="009B7D21" w:rsidRDefault="009B7D21">
            <w:pPr>
              <w:jc w:val="center"/>
              <w:rPr>
                <w:rFonts w:ascii="Arial" w:hAnsi="Arial" w:cs="Arial"/>
                <w:b/>
                <w:bCs/>
              </w:rPr>
            </w:pPr>
            <w:r>
              <w:rPr>
                <w:rFonts w:ascii="Arial" w:hAnsi="Arial" w:cs="Arial"/>
                <w:b/>
                <w:bCs/>
              </w:rPr>
              <w:t>druh</w:t>
            </w:r>
          </w:p>
        </w:tc>
      </w:tr>
      <w:tr w:rsidR="009B7D21" w14:paraId="04C8DAC4" w14:textId="77777777" w:rsidTr="009B7D21">
        <w:trPr>
          <w:trHeight w:val="255"/>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D4D79CB" w14:textId="77777777" w:rsidR="009B7D21" w:rsidRDefault="009B7D21">
            <w:pPr>
              <w:jc w:val="center"/>
              <w:rPr>
                <w:rFonts w:ascii="Arial" w:hAnsi="Arial" w:cs="Arial"/>
                <w:sz w:val="20"/>
                <w:szCs w:val="20"/>
              </w:rPr>
            </w:pPr>
            <w:r>
              <w:rPr>
                <w:rFonts w:ascii="Arial" w:hAnsi="Arial" w:cs="Arial"/>
                <w:sz w:val="20"/>
                <w:szCs w:val="20"/>
              </w:rPr>
              <w:t>2</w:t>
            </w:r>
          </w:p>
        </w:tc>
        <w:tc>
          <w:tcPr>
            <w:tcW w:w="500" w:type="dxa"/>
            <w:tcBorders>
              <w:top w:val="single" w:sz="8" w:space="0" w:color="auto"/>
              <w:left w:val="nil"/>
              <w:bottom w:val="single" w:sz="4" w:space="0" w:color="auto"/>
              <w:right w:val="single" w:sz="4" w:space="0" w:color="auto"/>
            </w:tcBorders>
            <w:shd w:val="clear" w:color="auto" w:fill="auto"/>
            <w:noWrap/>
            <w:vAlign w:val="bottom"/>
          </w:tcPr>
          <w:p w14:paraId="3046465A" w14:textId="77777777" w:rsidR="009B7D21" w:rsidRDefault="009B7D21">
            <w:pPr>
              <w:jc w:val="center"/>
              <w:rPr>
                <w:rFonts w:ascii="Arial" w:hAnsi="Arial" w:cs="Arial"/>
                <w:sz w:val="20"/>
                <w:szCs w:val="20"/>
              </w:rPr>
            </w:pPr>
            <w:r>
              <w:rPr>
                <w:rFonts w:ascii="Arial" w:hAnsi="Arial" w:cs="Arial"/>
                <w:sz w:val="20"/>
                <w:szCs w:val="20"/>
              </w:rPr>
              <w:t>1</w:t>
            </w:r>
          </w:p>
        </w:tc>
        <w:tc>
          <w:tcPr>
            <w:tcW w:w="960" w:type="dxa"/>
            <w:tcBorders>
              <w:top w:val="single" w:sz="8" w:space="0" w:color="auto"/>
              <w:left w:val="nil"/>
              <w:bottom w:val="single" w:sz="4" w:space="0" w:color="auto"/>
              <w:right w:val="single" w:sz="4" w:space="0" w:color="auto"/>
            </w:tcBorders>
            <w:shd w:val="clear" w:color="auto" w:fill="auto"/>
            <w:noWrap/>
            <w:vAlign w:val="bottom"/>
          </w:tcPr>
          <w:p w14:paraId="1305A9DD" w14:textId="77777777" w:rsidR="009B7D21" w:rsidRDefault="009B7D21">
            <w:pPr>
              <w:jc w:val="right"/>
              <w:rPr>
                <w:rFonts w:ascii="Arial" w:hAnsi="Arial" w:cs="Arial"/>
                <w:sz w:val="20"/>
                <w:szCs w:val="20"/>
              </w:rPr>
            </w:pPr>
            <w:r>
              <w:rPr>
                <w:rFonts w:ascii="Arial" w:hAnsi="Arial" w:cs="Arial"/>
                <w:sz w:val="20"/>
                <w:szCs w:val="20"/>
              </w:rPr>
              <w:t>-3,400</w:t>
            </w:r>
          </w:p>
        </w:tc>
        <w:tc>
          <w:tcPr>
            <w:tcW w:w="960" w:type="dxa"/>
            <w:tcBorders>
              <w:top w:val="single" w:sz="8" w:space="0" w:color="auto"/>
              <w:left w:val="nil"/>
              <w:bottom w:val="single" w:sz="4" w:space="0" w:color="auto"/>
              <w:right w:val="single" w:sz="4" w:space="0" w:color="auto"/>
            </w:tcBorders>
            <w:shd w:val="clear" w:color="auto" w:fill="auto"/>
            <w:noWrap/>
            <w:vAlign w:val="bottom"/>
          </w:tcPr>
          <w:p w14:paraId="5B523B7B" w14:textId="77777777" w:rsidR="009B7D21" w:rsidRDefault="009B7D21">
            <w:pPr>
              <w:jc w:val="right"/>
              <w:rPr>
                <w:rFonts w:ascii="Arial" w:hAnsi="Arial" w:cs="Arial"/>
                <w:sz w:val="20"/>
                <w:szCs w:val="20"/>
              </w:rPr>
            </w:pPr>
            <w:r>
              <w:rPr>
                <w:rFonts w:ascii="Arial" w:hAnsi="Arial" w:cs="Arial"/>
                <w:sz w:val="20"/>
                <w:szCs w:val="20"/>
              </w:rPr>
              <w:t>-13,600</w:t>
            </w:r>
          </w:p>
        </w:tc>
        <w:tc>
          <w:tcPr>
            <w:tcW w:w="960" w:type="dxa"/>
            <w:tcBorders>
              <w:top w:val="single" w:sz="8" w:space="0" w:color="auto"/>
              <w:left w:val="nil"/>
              <w:bottom w:val="single" w:sz="4" w:space="0" w:color="auto"/>
              <w:right w:val="single" w:sz="4" w:space="0" w:color="auto"/>
            </w:tcBorders>
            <w:shd w:val="clear" w:color="auto" w:fill="auto"/>
            <w:noWrap/>
            <w:vAlign w:val="bottom"/>
          </w:tcPr>
          <w:p w14:paraId="7CC0C05C" w14:textId="77777777" w:rsidR="009B7D21" w:rsidRDefault="009B7D21">
            <w:pPr>
              <w:jc w:val="right"/>
              <w:rPr>
                <w:rFonts w:ascii="Arial" w:hAnsi="Arial" w:cs="Arial"/>
                <w:sz w:val="20"/>
                <w:szCs w:val="20"/>
              </w:rPr>
            </w:pPr>
            <w:r>
              <w:rPr>
                <w:rFonts w:ascii="Arial" w:hAnsi="Arial" w:cs="Arial"/>
                <w:sz w:val="20"/>
                <w:szCs w:val="20"/>
              </w:rPr>
              <w:t>10,200</w:t>
            </w:r>
          </w:p>
        </w:tc>
        <w:tc>
          <w:tcPr>
            <w:tcW w:w="1280" w:type="dxa"/>
            <w:tcBorders>
              <w:top w:val="single" w:sz="8" w:space="0" w:color="auto"/>
              <w:left w:val="nil"/>
              <w:bottom w:val="single" w:sz="4" w:space="0" w:color="auto"/>
              <w:right w:val="single" w:sz="4" w:space="0" w:color="auto"/>
            </w:tcBorders>
            <w:shd w:val="clear" w:color="auto" w:fill="auto"/>
            <w:noWrap/>
            <w:vAlign w:val="bottom"/>
          </w:tcPr>
          <w:p w14:paraId="09A09218" w14:textId="77777777" w:rsidR="009B7D21" w:rsidRDefault="009B7D21">
            <w:pPr>
              <w:jc w:val="right"/>
              <w:rPr>
                <w:rFonts w:ascii="Arial" w:hAnsi="Arial" w:cs="Arial"/>
                <w:sz w:val="20"/>
                <w:szCs w:val="20"/>
              </w:rPr>
            </w:pPr>
            <w:r>
              <w:rPr>
                <w:rFonts w:ascii="Arial" w:hAnsi="Arial" w:cs="Arial"/>
                <w:sz w:val="20"/>
                <w:szCs w:val="20"/>
              </w:rPr>
              <w:t>1,634E-18</w:t>
            </w:r>
          </w:p>
        </w:tc>
        <w:tc>
          <w:tcPr>
            <w:tcW w:w="1280" w:type="dxa"/>
            <w:tcBorders>
              <w:top w:val="single" w:sz="8" w:space="0" w:color="auto"/>
              <w:left w:val="nil"/>
              <w:bottom w:val="single" w:sz="4" w:space="0" w:color="auto"/>
              <w:right w:val="single" w:sz="4" w:space="0" w:color="auto"/>
            </w:tcBorders>
            <w:shd w:val="clear" w:color="auto" w:fill="auto"/>
            <w:noWrap/>
            <w:vAlign w:val="bottom"/>
          </w:tcPr>
          <w:p w14:paraId="7011622E" w14:textId="77777777" w:rsidR="009B7D21" w:rsidRDefault="009B7D21">
            <w:pPr>
              <w:jc w:val="right"/>
              <w:rPr>
                <w:rFonts w:ascii="Arial" w:hAnsi="Arial" w:cs="Arial"/>
                <w:sz w:val="20"/>
                <w:szCs w:val="20"/>
              </w:rPr>
            </w:pPr>
            <w:r>
              <w:rPr>
                <w:rFonts w:ascii="Arial" w:hAnsi="Arial" w:cs="Arial"/>
                <w:sz w:val="20"/>
                <w:szCs w:val="20"/>
              </w:rPr>
              <w:t>1,216E-07</w:t>
            </w:r>
          </w:p>
        </w:tc>
        <w:tc>
          <w:tcPr>
            <w:tcW w:w="1060" w:type="dxa"/>
            <w:tcBorders>
              <w:top w:val="single" w:sz="8" w:space="0" w:color="auto"/>
              <w:left w:val="nil"/>
              <w:bottom w:val="single" w:sz="4" w:space="0" w:color="auto"/>
              <w:right w:val="single" w:sz="4" w:space="0" w:color="auto"/>
            </w:tcBorders>
            <w:shd w:val="clear" w:color="auto" w:fill="auto"/>
            <w:noWrap/>
            <w:vAlign w:val="bottom"/>
          </w:tcPr>
          <w:p w14:paraId="65F07924" w14:textId="77777777" w:rsidR="009B7D21" w:rsidRDefault="009B7D21" w:rsidP="006D60A6">
            <w:pPr>
              <w:ind w:firstLineChars="100" w:firstLine="201"/>
              <w:jc w:val="right"/>
              <w:rPr>
                <w:rFonts w:ascii="Arial" w:hAnsi="Arial" w:cs="Arial"/>
                <w:b/>
                <w:bCs/>
                <w:sz w:val="20"/>
                <w:szCs w:val="20"/>
              </w:rPr>
            </w:pPr>
            <w:r>
              <w:rPr>
                <w:rFonts w:ascii="Arial" w:hAnsi="Arial" w:cs="Arial"/>
                <w:b/>
                <w:bCs/>
                <w:sz w:val="20"/>
                <w:szCs w:val="20"/>
              </w:rPr>
              <w:t>122</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14:paraId="556452C9" w14:textId="77777777" w:rsidR="009B7D21" w:rsidRDefault="009B7D21">
            <w:pPr>
              <w:jc w:val="center"/>
              <w:rPr>
                <w:rFonts w:ascii="Arial" w:hAnsi="Arial" w:cs="Arial"/>
                <w:b/>
                <w:bCs/>
                <w:sz w:val="20"/>
                <w:szCs w:val="20"/>
              </w:rPr>
            </w:pPr>
            <w:r>
              <w:rPr>
                <w:rFonts w:ascii="Arial" w:hAnsi="Arial" w:cs="Arial"/>
                <w:b/>
                <w:bCs/>
                <w:sz w:val="20"/>
                <w:szCs w:val="20"/>
              </w:rPr>
              <w:t>UV</w:t>
            </w:r>
          </w:p>
        </w:tc>
      </w:tr>
      <w:tr w:rsidR="009B7D21" w14:paraId="3A2ECB67" w14:textId="77777777" w:rsidTr="009B7D21">
        <w:trPr>
          <w:trHeight w:val="255"/>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87D3A57" w14:textId="77777777" w:rsidR="009B7D21" w:rsidRDefault="009B7D21">
            <w:pPr>
              <w:jc w:val="center"/>
              <w:rPr>
                <w:rFonts w:ascii="Arial" w:hAnsi="Arial" w:cs="Arial"/>
                <w:sz w:val="20"/>
                <w:szCs w:val="20"/>
              </w:rPr>
            </w:pPr>
            <w:r>
              <w:rPr>
                <w:rFonts w:ascii="Arial" w:hAnsi="Arial" w:cs="Arial"/>
                <w:sz w:val="20"/>
                <w:szCs w:val="20"/>
              </w:rPr>
              <w:lastRenderedPageBreak/>
              <w:t>3</w:t>
            </w:r>
          </w:p>
        </w:tc>
        <w:tc>
          <w:tcPr>
            <w:tcW w:w="500" w:type="dxa"/>
            <w:tcBorders>
              <w:top w:val="nil"/>
              <w:left w:val="nil"/>
              <w:bottom w:val="single" w:sz="4" w:space="0" w:color="auto"/>
              <w:right w:val="single" w:sz="4" w:space="0" w:color="auto"/>
            </w:tcBorders>
            <w:shd w:val="clear" w:color="auto" w:fill="auto"/>
            <w:noWrap/>
            <w:vAlign w:val="bottom"/>
          </w:tcPr>
          <w:p w14:paraId="6733EABA" w14:textId="77777777" w:rsidR="009B7D21" w:rsidRDefault="009B7D21">
            <w:pPr>
              <w:jc w:val="center"/>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14:paraId="4DC0DA94" w14:textId="77777777" w:rsidR="009B7D21" w:rsidRDefault="009B7D21">
            <w:pPr>
              <w:jc w:val="right"/>
              <w:rPr>
                <w:rFonts w:ascii="Arial" w:hAnsi="Arial" w:cs="Arial"/>
                <w:sz w:val="20"/>
                <w:szCs w:val="20"/>
              </w:rPr>
            </w:pPr>
            <w:r>
              <w:rPr>
                <w:rFonts w:ascii="Arial" w:hAnsi="Arial" w:cs="Arial"/>
                <w:sz w:val="20"/>
                <w:szCs w:val="20"/>
              </w:rPr>
              <w:t>-1,511</w:t>
            </w:r>
          </w:p>
        </w:tc>
        <w:tc>
          <w:tcPr>
            <w:tcW w:w="960" w:type="dxa"/>
            <w:tcBorders>
              <w:top w:val="nil"/>
              <w:left w:val="nil"/>
              <w:bottom w:val="single" w:sz="4" w:space="0" w:color="auto"/>
              <w:right w:val="single" w:sz="4" w:space="0" w:color="auto"/>
            </w:tcBorders>
            <w:shd w:val="clear" w:color="auto" w:fill="auto"/>
            <w:noWrap/>
            <w:vAlign w:val="bottom"/>
          </w:tcPr>
          <w:p w14:paraId="7A8E4703" w14:textId="77777777" w:rsidR="009B7D21" w:rsidRDefault="009B7D21">
            <w:pPr>
              <w:jc w:val="right"/>
              <w:rPr>
                <w:rFonts w:ascii="Arial" w:hAnsi="Arial" w:cs="Arial"/>
                <w:sz w:val="20"/>
                <w:szCs w:val="20"/>
              </w:rPr>
            </w:pPr>
            <w:r>
              <w:rPr>
                <w:rFonts w:ascii="Arial" w:hAnsi="Arial" w:cs="Arial"/>
                <w:sz w:val="20"/>
                <w:szCs w:val="20"/>
              </w:rPr>
              <w:t>-13,600</w:t>
            </w:r>
          </w:p>
        </w:tc>
        <w:tc>
          <w:tcPr>
            <w:tcW w:w="960" w:type="dxa"/>
            <w:tcBorders>
              <w:top w:val="nil"/>
              <w:left w:val="nil"/>
              <w:bottom w:val="single" w:sz="4" w:space="0" w:color="auto"/>
              <w:right w:val="single" w:sz="4" w:space="0" w:color="auto"/>
            </w:tcBorders>
            <w:shd w:val="clear" w:color="auto" w:fill="auto"/>
            <w:noWrap/>
            <w:vAlign w:val="bottom"/>
          </w:tcPr>
          <w:p w14:paraId="3F4749D5" w14:textId="77777777" w:rsidR="009B7D21" w:rsidRDefault="009B7D21">
            <w:pPr>
              <w:jc w:val="right"/>
              <w:rPr>
                <w:rFonts w:ascii="Arial" w:hAnsi="Arial" w:cs="Arial"/>
                <w:sz w:val="20"/>
                <w:szCs w:val="20"/>
              </w:rPr>
            </w:pPr>
            <w:r>
              <w:rPr>
                <w:rFonts w:ascii="Arial" w:hAnsi="Arial" w:cs="Arial"/>
                <w:sz w:val="20"/>
                <w:szCs w:val="20"/>
              </w:rPr>
              <w:t>12,089</w:t>
            </w:r>
          </w:p>
        </w:tc>
        <w:tc>
          <w:tcPr>
            <w:tcW w:w="1280" w:type="dxa"/>
            <w:tcBorders>
              <w:top w:val="nil"/>
              <w:left w:val="nil"/>
              <w:bottom w:val="single" w:sz="4" w:space="0" w:color="auto"/>
              <w:right w:val="single" w:sz="4" w:space="0" w:color="auto"/>
            </w:tcBorders>
            <w:shd w:val="clear" w:color="auto" w:fill="auto"/>
            <w:noWrap/>
            <w:vAlign w:val="bottom"/>
          </w:tcPr>
          <w:p w14:paraId="2CE84114" w14:textId="77777777" w:rsidR="009B7D21" w:rsidRDefault="009B7D21">
            <w:pPr>
              <w:jc w:val="right"/>
              <w:rPr>
                <w:rFonts w:ascii="Arial" w:hAnsi="Arial" w:cs="Arial"/>
                <w:sz w:val="20"/>
                <w:szCs w:val="20"/>
              </w:rPr>
            </w:pPr>
            <w:r>
              <w:rPr>
                <w:rFonts w:ascii="Arial" w:hAnsi="Arial" w:cs="Arial"/>
                <w:sz w:val="20"/>
                <w:szCs w:val="20"/>
              </w:rPr>
              <w:t>1,937E-18</w:t>
            </w:r>
          </w:p>
        </w:tc>
        <w:tc>
          <w:tcPr>
            <w:tcW w:w="1280" w:type="dxa"/>
            <w:tcBorders>
              <w:top w:val="nil"/>
              <w:left w:val="nil"/>
              <w:bottom w:val="single" w:sz="4" w:space="0" w:color="auto"/>
              <w:right w:val="single" w:sz="4" w:space="0" w:color="auto"/>
            </w:tcBorders>
            <w:shd w:val="clear" w:color="auto" w:fill="auto"/>
            <w:noWrap/>
            <w:vAlign w:val="bottom"/>
          </w:tcPr>
          <w:p w14:paraId="651567CB" w14:textId="77777777" w:rsidR="009B7D21" w:rsidRDefault="009B7D21">
            <w:pPr>
              <w:jc w:val="right"/>
              <w:rPr>
                <w:rFonts w:ascii="Arial" w:hAnsi="Arial" w:cs="Arial"/>
                <w:sz w:val="20"/>
                <w:szCs w:val="20"/>
              </w:rPr>
            </w:pPr>
            <w:r>
              <w:rPr>
                <w:rFonts w:ascii="Arial" w:hAnsi="Arial" w:cs="Arial"/>
                <w:sz w:val="20"/>
                <w:szCs w:val="20"/>
              </w:rPr>
              <w:t>1,026E-07</w:t>
            </w:r>
          </w:p>
        </w:tc>
        <w:tc>
          <w:tcPr>
            <w:tcW w:w="1060" w:type="dxa"/>
            <w:tcBorders>
              <w:top w:val="nil"/>
              <w:left w:val="nil"/>
              <w:bottom w:val="single" w:sz="4" w:space="0" w:color="auto"/>
              <w:right w:val="single" w:sz="4" w:space="0" w:color="auto"/>
            </w:tcBorders>
            <w:shd w:val="clear" w:color="auto" w:fill="auto"/>
            <w:noWrap/>
            <w:vAlign w:val="bottom"/>
          </w:tcPr>
          <w:p w14:paraId="013BB430" w14:textId="77777777" w:rsidR="009B7D21" w:rsidRDefault="009B7D21" w:rsidP="006D60A6">
            <w:pPr>
              <w:ind w:firstLineChars="100" w:firstLine="201"/>
              <w:jc w:val="right"/>
              <w:rPr>
                <w:rFonts w:ascii="Arial" w:hAnsi="Arial" w:cs="Arial"/>
                <w:b/>
                <w:bCs/>
                <w:sz w:val="20"/>
                <w:szCs w:val="20"/>
              </w:rPr>
            </w:pPr>
            <w:r>
              <w:rPr>
                <w:rFonts w:ascii="Arial" w:hAnsi="Arial" w:cs="Arial"/>
                <w:b/>
                <w:bCs/>
                <w:sz w:val="20"/>
                <w:szCs w:val="20"/>
              </w:rPr>
              <w:t>103</w:t>
            </w:r>
          </w:p>
        </w:tc>
        <w:tc>
          <w:tcPr>
            <w:tcW w:w="960" w:type="dxa"/>
            <w:vMerge/>
            <w:tcBorders>
              <w:top w:val="single" w:sz="8" w:space="0" w:color="auto"/>
              <w:left w:val="single" w:sz="4" w:space="0" w:color="auto"/>
              <w:bottom w:val="single" w:sz="8" w:space="0" w:color="000000"/>
              <w:right w:val="single" w:sz="8" w:space="0" w:color="auto"/>
            </w:tcBorders>
            <w:vAlign w:val="center"/>
          </w:tcPr>
          <w:p w14:paraId="6A7C35F4" w14:textId="77777777" w:rsidR="009B7D21" w:rsidRDefault="009B7D21">
            <w:pPr>
              <w:rPr>
                <w:rFonts w:ascii="Arial" w:hAnsi="Arial" w:cs="Arial"/>
                <w:b/>
                <w:bCs/>
                <w:sz w:val="20"/>
                <w:szCs w:val="20"/>
              </w:rPr>
            </w:pPr>
          </w:p>
        </w:tc>
      </w:tr>
      <w:tr w:rsidR="009B7D21" w14:paraId="6D77A257" w14:textId="77777777" w:rsidTr="009B7D21">
        <w:trPr>
          <w:trHeight w:val="255"/>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03DF3BA" w14:textId="77777777" w:rsidR="009B7D21" w:rsidRDefault="009B7D21">
            <w:pPr>
              <w:jc w:val="center"/>
              <w:rPr>
                <w:rFonts w:ascii="Arial" w:hAnsi="Arial" w:cs="Arial"/>
                <w:sz w:val="20"/>
                <w:szCs w:val="20"/>
              </w:rPr>
            </w:pPr>
            <w:r>
              <w:rPr>
                <w:rFonts w:ascii="Arial" w:hAnsi="Arial" w:cs="Arial"/>
                <w:sz w:val="20"/>
                <w:szCs w:val="20"/>
              </w:rPr>
              <w:t>4</w:t>
            </w:r>
          </w:p>
        </w:tc>
        <w:tc>
          <w:tcPr>
            <w:tcW w:w="500" w:type="dxa"/>
            <w:tcBorders>
              <w:top w:val="nil"/>
              <w:left w:val="nil"/>
              <w:bottom w:val="single" w:sz="4" w:space="0" w:color="auto"/>
              <w:right w:val="single" w:sz="4" w:space="0" w:color="auto"/>
            </w:tcBorders>
            <w:shd w:val="clear" w:color="auto" w:fill="auto"/>
            <w:noWrap/>
            <w:vAlign w:val="bottom"/>
          </w:tcPr>
          <w:p w14:paraId="53BC0115" w14:textId="77777777" w:rsidR="009B7D21" w:rsidRDefault="009B7D21">
            <w:pPr>
              <w:jc w:val="center"/>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14:paraId="6E826CA6" w14:textId="77777777" w:rsidR="009B7D21" w:rsidRDefault="009B7D21">
            <w:pPr>
              <w:jc w:val="right"/>
              <w:rPr>
                <w:rFonts w:ascii="Arial" w:hAnsi="Arial" w:cs="Arial"/>
                <w:sz w:val="20"/>
                <w:szCs w:val="20"/>
              </w:rPr>
            </w:pPr>
            <w:r>
              <w:rPr>
                <w:rFonts w:ascii="Arial" w:hAnsi="Arial" w:cs="Arial"/>
                <w:sz w:val="20"/>
                <w:szCs w:val="20"/>
              </w:rPr>
              <w:t>-0,850</w:t>
            </w:r>
          </w:p>
        </w:tc>
        <w:tc>
          <w:tcPr>
            <w:tcW w:w="960" w:type="dxa"/>
            <w:tcBorders>
              <w:top w:val="nil"/>
              <w:left w:val="nil"/>
              <w:bottom w:val="single" w:sz="4" w:space="0" w:color="auto"/>
              <w:right w:val="single" w:sz="4" w:space="0" w:color="auto"/>
            </w:tcBorders>
            <w:shd w:val="clear" w:color="auto" w:fill="auto"/>
            <w:noWrap/>
            <w:vAlign w:val="bottom"/>
          </w:tcPr>
          <w:p w14:paraId="1C8F1D55" w14:textId="77777777" w:rsidR="009B7D21" w:rsidRDefault="009B7D21">
            <w:pPr>
              <w:jc w:val="right"/>
              <w:rPr>
                <w:rFonts w:ascii="Arial" w:hAnsi="Arial" w:cs="Arial"/>
                <w:sz w:val="20"/>
                <w:szCs w:val="20"/>
              </w:rPr>
            </w:pPr>
            <w:r>
              <w:rPr>
                <w:rFonts w:ascii="Arial" w:hAnsi="Arial" w:cs="Arial"/>
                <w:sz w:val="20"/>
                <w:szCs w:val="20"/>
              </w:rPr>
              <w:t>-13,600</w:t>
            </w:r>
          </w:p>
        </w:tc>
        <w:tc>
          <w:tcPr>
            <w:tcW w:w="960" w:type="dxa"/>
            <w:tcBorders>
              <w:top w:val="nil"/>
              <w:left w:val="nil"/>
              <w:bottom w:val="single" w:sz="4" w:space="0" w:color="auto"/>
              <w:right w:val="single" w:sz="4" w:space="0" w:color="auto"/>
            </w:tcBorders>
            <w:shd w:val="clear" w:color="auto" w:fill="auto"/>
            <w:noWrap/>
            <w:vAlign w:val="bottom"/>
          </w:tcPr>
          <w:p w14:paraId="396517A0" w14:textId="77777777" w:rsidR="009B7D21" w:rsidRDefault="009B7D21">
            <w:pPr>
              <w:jc w:val="right"/>
              <w:rPr>
                <w:rFonts w:ascii="Arial" w:hAnsi="Arial" w:cs="Arial"/>
                <w:sz w:val="20"/>
                <w:szCs w:val="20"/>
              </w:rPr>
            </w:pPr>
            <w:r>
              <w:rPr>
                <w:rFonts w:ascii="Arial" w:hAnsi="Arial" w:cs="Arial"/>
                <w:sz w:val="20"/>
                <w:szCs w:val="20"/>
              </w:rPr>
              <w:t>12,750</w:t>
            </w:r>
          </w:p>
        </w:tc>
        <w:tc>
          <w:tcPr>
            <w:tcW w:w="1280" w:type="dxa"/>
            <w:tcBorders>
              <w:top w:val="nil"/>
              <w:left w:val="nil"/>
              <w:bottom w:val="single" w:sz="4" w:space="0" w:color="auto"/>
              <w:right w:val="single" w:sz="4" w:space="0" w:color="auto"/>
            </w:tcBorders>
            <w:shd w:val="clear" w:color="auto" w:fill="auto"/>
            <w:noWrap/>
            <w:vAlign w:val="bottom"/>
          </w:tcPr>
          <w:p w14:paraId="7648357B" w14:textId="77777777" w:rsidR="009B7D21" w:rsidRDefault="009B7D21">
            <w:pPr>
              <w:jc w:val="right"/>
              <w:rPr>
                <w:rFonts w:ascii="Arial" w:hAnsi="Arial" w:cs="Arial"/>
                <w:sz w:val="20"/>
                <w:szCs w:val="20"/>
              </w:rPr>
            </w:pPr>
            <w:r>
              <w:rPr>
                <w:rFonts w:ascii="Arial" w:hAnsi="Arial" w:cs="Arial"/>
                <w:sz w:val="20"/>
                <w:szCs w:val="20"/>
              </w:rPr>
              <w:t>2,043E-18</w:t>
            </w:r>
          </w:p>
        </w:tc>
        <w:tc>
          <w:tcPr>
            <w:tcW w:w="1280" w:type="dxa"/>
            <w:tcBorders>
              <w:top w:val="nil"/>
              <w:left w:val="nil"/>
              <w:bottom w:val="single" w:sz="4" w:space="0" w:color="auto"/>
              <w:right w:val="single" w:sz="4" w:space="0" w:color="auto"/>
            </w:tcBorders>
            <w:shd w:val="clear" w:color="auto" w:fill="auto"/>
            <w:noWrap/>
            <w:vAlign w:val="bottom"/>
          </w:tcPr>
          <w:p w14:paraId="4B38A027" w14:textId="77777777" w:rsidR="009B7D21" w:rsidRDefault="009B7D21">
            <w:pPr>
              <w:jc w:val="right"/>
              <w:rPr>
                <w:rFonts w:ascii="Arial" w:hAnsi="Arial" w:cs="Arial"/>
                <w:sz w:val="20"/>
                <w:szCs w:val="20"/>
              </w:rPr>
            </w:pPr>
            <w:r>
              <w:rPr>
                <w:rFonts w:ascii="Arial" w:hAnsi="Arial" w:cs="Arial"/>
                <w:sz w:val="20"/>
                <w:szCs w:val="20"/>
              </w:rPr>
              <w:t>9,725E-08</w:t>
            </w:r>
          </w:p>
        </w:tc>
        <w:tc>
          <w:tcPr>
            <w:tcW w:w="1060" w:type="dxa"/>
            <w:tcBorders>
              <w:top w:val="nil"/>
              <w:left w:val="nil"/>
              <w:bottom w:val="single" w:sz="4" w:space="0" w:color="auto"/>
              <w:right w:val="single" w:sz="4" w:space="0" w:color="auto"/>
            </w:tcBorders>
            <w:shd w:val="clear" w:color="auto" w:fill="auto"/>
            <w:noWrap/>
            <w:vAlign w:val="bottom"/>
          </w:tcPr>
          <w:p w14:paraId="5664C45E" w14:textId="77777777" w:rsidR="009B7D21" w:rsidRDefault="009B7D21" w:rsidP="006D60A6">
            <w:pPr>
              <w:ind w:firstLineChars="100" w:firstLine="201"/>
              <w:jc w:val="right"/>
              <w:rPr>
                <w:rFonts w:ascii="Arial" w:hAnsi="Arial" w:cs="Arial"/>
                <w:b/>
                <w:bCs/>
                <w:sz w:val="20"/>
                <w:szCs w:val="20"/>
              </w:rPr>
            </w:pPr>
            <w:r>
              <w:rPr>
                <w:rFonts w:ascii="Arial" w:hAnsi="Arial" w:cs="Arial"/>
                <w:b/>
                <w:bCs/>
                <w:sz w:val="20"/>
                <w:szCs w:val="20"/>
              </w:rPr>
              <w:t>97</w:t>
            </w:r>
          </w:p>
        </w:tc>
        <w:tc>
          <w:tcPr>
            <w:tcW w:w="960" w:type="dxa"/>
            <w:vMerge/>
            <w:tcBorders>
              <w:top w:val="single" w:sz="8" w:space="0" w:color="auto"/>
              <w:left w:val="single" w:sz="4" w:space="0" w:color="auto"/>
              <w:bottom w:val="single" w:sz="8" w:space="0" w:color="000000"/>
              <w:right w:val="single" w:sz="8" w:space="0" w:color="auto"/>
            </w:tcBorders>
            <w:vAlign w:val="center"/>
          </w:tcPr>
          <w:p w14:paraId="72CE3FEF" w14:textId="77777777" w:rsidR="009B7D21" w:rsidRDefault="009B7D21">
            <w:pPr>
              <w:rPr>
                <w:rFonts w:ascii="Arial" w:hAnsi="Arial" w:cs="Arial"/>
                <w:b/>
                <w:bCs/>
                <w:sz w:val="20"/>
                <w:szCs w:val="20"/>
              </w:rPr>
            </w:pPr>
          </w:p>
        </w:tc>
      </w:tr>
      <w:tr w:rsidR="009B7D21" w14:paraId="56D5CBB6" w14:textId="77777777" w:rsidTr="009B7D21">
        <w:trPr>
          <w:trHeight w:val="255"/>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19BE0D0" w14:textId="77777777" w:rsidR="009B7D21" w:rsidRDefault="009B7D21">
            <w:pPr>
              <w:jc w:val="center"/>
              <w:rPr>
                <w:rFonts w:ascii="Arial" w:hAnsi="Arial" w:cs="Arial"/>
                <w:sz w:val="20"/>
                <w:szCs w:val="20"/>
              </w:rPr>
            </w:pPr>
            <w:r>
              <w:rPr>
                <w:rFonts w:ascii="Arial" w:hAnsi="Arial" w:cs="Arial"/>
                <w:sz w:val="20"/>
                <w:szCs w:val="20"/>
              </w:rPr>
              <w:t>5</w:t>
            </w:r>
          </w:p>
        </w:tc>
        <w:tc>
          <w:tcPr>
            <w:tcW w:w="500" w:type="dxa"/>
            <w:tcBorders>
              <w:top w:val="nil"/>
              <w:left w:val="nil"/>
              <w:bottom w:val="single" w:sz="4" w:space="0" w:color="auto"/>
              <w:right w:val="single" w:sz="4" w:space="0" w:color="auto"/>
            </w:tcBorders>
            <w:shd w:val="clear" w:color="auto" w:fill="auto"/>
            <w:noWrap/>
            <w:vAlign w:val="bottom"/>
          </w:tcPr>
          <w:p w14:paraId="740C531E" w14:textId="77777777" w:rsidR="009B7D21" w:rsidRDefault="009B7D21">
            <w:pPr>
              <w:jc w:val="center"/>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14:paraId="17DD91A6" w14:textId="77777777" w:rsidR="009B7D21" w:rsidRDefault="009B7D21">
            <w:pPr>
              <w:jc w:val="right"/>
              <w:rPr>
                <w:rFonts w:ascii="Arial" w:hAnsi="Arial" w:cs="Arial"/>
                <w:sz w:val="20"/>
                <w:szCs w:val="20"/>
              </w:rPr>
            </w:pPr>
            <w:r>
              <w:rPr>
                <w:rFonts w:ascii="Arial" w:hAnsi="Arial" w:cs="Arial"/>
                <w:sz w:val="20"/>
                <w:szCs w:val="20"/>
              </w:rPr>
              <w:t>-0,544</w:t>
            </w:r>
          </w:p>
        </w:tc>
        <w:tc>
          <w:tcPr>
            <w:tcW w:w="960" w:type="dxa"/>
            <w:tcBorders>
              <w:top w:val="nil"/>
              <w:left w:val="nil"/>
              <w:bottom w:val="single" w:sz="4" w:space="0" w:color="auto"/>
              <w:right w:val="single" w:sz="4" w:space="0" w:color="auto"/>
            </w:tcBorders>
            <w:shd w:val="clear" w:color="auto" w:fill="auto"/>
            <w:noWrap/>
            <w:vAlign w:val="bottom"/>
          </w:tcPr>
          <w:p w14:paraId="2A294893" w14:textId="77777777" w:rsidR="009B7D21" w:rsidRDefault="009B7D21">
            <w:pPr>
              <w:jc w:val="right"/>
              <w:rPr>
                <w:rFonts w:ascii="Arial" w:hAnsi="Arial" w:cs="Arial"/>
                <w:sz w:val="20"/>
                <w:szCs w:val="20"/>
              </w:rPr>
            </w:pPr>
            <w:r>
              <w:rPr>
                <w:rFonts w:ascii="Arial" w:hAnsi="Arial" w:cs="Arial"/>
                <w:sz w:val="20"/>
                <w:szCs w:val="20"/>
              </w:rPr>
              <w:t>-13,600</w:t>
            </w:r>
          </w:p>
        </w:tc>
        <w:tc>
          <w:tcPr>
            <w:tcW w:w="960" w:type="dxa"/>
            <w:tcBorders>
              <w:top w:val="nil"/>
              <w:left w:val="nil"/>
              <w:bottom w:val="single" w:sz="4" w:space="0" w:color="auto"/>
              <w:right w:val="single" w:sz="4" w:space="0" w:color="auto"/>
            </w:tcBorders>
            <w:shd w:val="clear" w:color="auto" w:fill="auto"/>
            <w:noWrap/>
            <w:vAlign w:val="bottom"/>
          </w:tcPr>
          <w:p w14:paraId="0CD1FCE2" w14:textId="77777777" w:rsidR="009B7D21" w:rsidRDefault="009B7D21">
            <w:pPr>
              <w:jc w:val="right"/>
              <w:rPr>
                <w:rFonts w:ascii="Arial" w:hAnsi="Arial" w:cs="Arial"/>
                <w:sz w:val="20"/>
                <w:szCs w:val="20"/>
              </w:rPr>
            </w:pPr>
            <w:r>
              <w:rPr>
                <w:rFonts w:ascii="Arial" w:hAnsi="Arial" w:cs="Arial"/>
                <w:sz w:val="20"/>
                <w:szCs w:val="20"/>
              </w:rPr>
              <w:t>13,056</w:t>
            </w:r>
          </w:p>
        </w:tc>
        <w:tc>
          <w:tcPr>
            <w:tcW w:w="1280" w:type="dxa"/>
            <w:tcBorders>
              <w:top w:val="nil"/>
              <w:left w:val="nil"/>
              <w:bottom w:val="single" w:sz="4" w:space="0" w:color="auto"/>
              <w:right w:val="single" w:sz="4" w:space="0" w:color="auto"/>
            </w:tcBorders>
            <w:shd w:val="clear" w:color="auto" w:fill="auto"/>
            <w:noWrap/>
            <w:vAlign w:val="bottom"/>
          </w:tcPr>
          <w:p w14:paraId="6EDF1688" w14:textId="77777777" w:rsidR="009B7D21" w:rsidRDefault="009B7D21">
            <w:pPr>
              <w:jc w:val="right"/>
              <w:rPr>
                <w:rFonts w:ascii="Arial" w:hAnsi="Arial" w:cs="Arial"/>
                <w:sz w:val="20"/>
                <w:szCs w:val="20"/>
              </w:rPr>
            </w:pPr>
            <w:r>
              <w:rPr>
                <w:rFonts w:ascii="Arial" w:hAnsi="Arial" w:cs="Arial"/>
                <w:sz w:val="20"/>
                <w:szCs w:val="20"/>
              </w:rPr>
              <w:t>2,092E-18</w:t>
            </w:r>
          </w:p>
        </w:tc>
        <w:tc>
          <w:tcPr>
            <w:tcW w:w="1280" w:type="dxa"/>
            <w:tcBorders>
              <w:top w:val="nil"/>
              <w:left w:val="nil"/>
              <w:bottom w:val="single" w:sz="4" w:space="0" w:color="auto"/>
              <w:right w:val="single" w:sz="4" w:space="0" w:color="auto"/>
            </w:tcBorders>
            <w:shd w:val="clear" w:color="auto" w:fill="auto"/>
            <w:noWrap/>
            <w:vAlign w:val="bottom"/>
          </w:tcPr>
          <w:p w14:paraId="7F705497" w14:textId="77777777" w:rsidR="009B7D21" w:rsidRDefault="009B7D21">
            <w:pPr>
              <w:jc w:val="right"/>
              <w:rPr>
                <w:rFonts w:ascii="Arial" w:hAnsi="Arial" w:cs="Arial"/>
                <w:sz w:val="20"/>
                <w:szCs w:val="20"/>
              </w:rPr>
            </w:pPr>
            <w:r>
              <w:rPr>
                <w:rFonts w:ascii="Arial" w:hAnsi="Arial" w:cs="Arial"/>
                <w:sz w:val="20"/>
                <w:szCs w:val="20"/>
              </w:rPr>
              <w:t>9,498E-08</w:t>
            </w:r>
          </w:p>
        </w:tc>
        <w:tc>
          <w:tcPr>
            <w:tcW w:w="1060" w:type="dxa"/>
            <w:tcBorders>
              <w:top w:val="nil"/>
              <w:left w:val="nil"/>
              <w:bottom w:val="single" w:sz="4" w:space="0" w:color="auto"/>
              <w:right w:val="single" w:sz="4" w:space="0" w:color="auto"/>
            </w:tcBorders>
            <w:shd w:val="clear" w:color="auto" w:fill="auto"/>
            <w:noWrap/>
            <w:vAlign w:val="bottom"/>
          </w:tcPr>
          <w:p w14:paraId="136A285C" w14:textId="77777777" w:rsidR="009B7D21" w:rsidRDefault="009B7D21" w:rsidP="006D60A6">
            <w:pPr>
              <w:ind w:firstLineChars="100" w:firstLine="201"/>
              <w:jc w:val="right"/>
              <w:rPr>
                <w:rFonts w:ascii="Arial" w:hAnsi="Arial" w:cs="Arial"/>
                <w:b/>
                <w:bCs/>
                <w:sz w:val="20"/>
                <w:szCs w:val="20"/>
              </w:rPr>
            </w:pPr>
            <w:r>
              <w:rPr>
                <w:rFonts w:ascii="Arial" w:hAnsi="Arial" w:cs="Arial"/>
                <w:b/>
                <w:bCs/>
                <w:sz w:val="20"/>
                <w:szCs w:val="20"/>
              </w:rPr>
              <w:t>95</w:t>
            </w:r>
          </w:p>
        </w:tc>
        <w:tc>
          <w:tcPr>
            <w:tcW w:w="960" w:type="dxa"/>
            <w:vMerge/>
            <w:tcBorders>
              <w:top w:val="single" w:sz="8" w:space="0" w:color="auto"/>
              <w:left w:val="single" w:sz="4" w:space="0" w:color="auto"/>
              <w:bottom w:val="single" w:sz="8" w:space="0" w:color="000000"/>
              <w:right w:val="single" w:sz="8" w:space="0" w:color="auto"/>
            </w:tcBorders>
            <w:vAlign w:val="center"/>
          </w:tcPr>
          <w:p w14:paraId="6A9AFC81" w14:textId="77777777" w:rsidR="009B7D21" w:rsidRDefault="009B7D21">
            <w:pPr>
              <w:rPr>
                <w:rFonts w:ascii="Arial" w:hAnsi="Arial" w:cs="Arial"/>
                <w:b/>
                <w:bCs/>
                <w:sz w:val="20"/>
                <w:szCs w:val="20"/>
              </w:rPr>
            </w:pPr>
          </w:p>
        </w:tc>
      </w:tr>
      <w:tr w:rsidR="009B7D21" w14:paraId="2A8E7E6E" w14:textId="77777777" w:rsidTr="009B7D21">
        <w:trPr>
          <w:trHeight w:val="270"/>
        </w:trPr>
        <w:tc>
          <w:tcPr>
            <w:tcW w:w="500" w:type="dxa"/>
            <w:tcBorders>
              <w:top w:val="nil"/>
              <w:left w:val="single" w:sz="8" w:space="0" w:color="auto"/>
              <w:bottom w:val="single" w:sz="8" w:space="0" w:color="auto"/>
              <w:right w:val="single" w:sz="4" w:space="0" w:color="auto"/>
            </w:tcBorders>
            <w:shd w:val="clear" w:color="auto" w:fill="auto"/>
            <w:noWrap/>
            <w:vAlign w:val="bottom"/>
          </w:tcPr>
          <w:p w14:paraId="62F4DFB4" w14:textId="77777777" w:rsidR="009B7D21" w:rsidRDefault="009B7D21">
            <w:pPr>
              <w:jc w:val="center"/>
              <w:rPr>
                <w:rFonts w:ascii="Arial" w:hAnsi="Arial" w:cs="Arial"/>
                <w:sz w:val="20"/>
                <w:szCs w:val="20"/>
              </w:rPr>
            </w:pPr>
            <w:r>
              <w:rPr>
                <w:rFonts w:ascii="Arial" w:hAnsi="Arial" w:cs="Arial"/>
                <w:sz w:val="20"/>
                <w:szCs w:val="20"/>
              </w:rPr>
              <w:t>6</w:t>
            </w:r>
          </w:p>
        </w:tc>
        <w:tc>
          <w:tcPr>
            <w:tcW w:w="500" w:type="dxa"/>
            <w:tcBorders>
              <w:top w:val="nil"/>
              <w:left w:val="nil"/>
              <w:bottom w:val="single" w:sz="8" w:space="0" w:color="auto"/>
              <w:right w:val="single" w:sz="4" w:space="0" w:color="auto"/>
            </w:tcBorders>
            <w:shd w:val="clear" w:color="auto" w:fill="auto"/>
            <w:noWrap/>
            <w:vAlign w:val="bottom"/>
          </w:tcPr>
          <w:p w14:paraId="6736ED61" w14:textId="77777777" w:rsidR="009B7D21" w:rsidRDefault="009B7D21">
            <w:pPr>
              <w:jc w:val="center"/>
              <w:rPr>
                <w:rFonts w:ascii="Arial" w:hAnsi="Arial" w:cs="Arial"/>
                <w:sz w:val="20"/>
                <w:szCs w:val="20"/>
              </w:rPr>
            </w:pPr>
            <w:r>
              <w:rPr>
                <w:rFonts w:ascii="Arial" w:hAnsi="Arial" w:cs="Arial"/>
                <w:sz w:val="20"/>
                <w:szCs w:val="20"/>
              </w:rPr>
              <w:t>1</w:t>
            </w:r>
          </w:p>
        </w:tc>
        <w:tc>
          <w:tcPr>
            <w:tcW w:w="960" w:type="dxa"/>
            <w:tcBorders>
              <w:top w:val="nil"/>
              <w:left w:val="nil"/>
              <w:bottom w:val="single" w:sz="8" w:space="0" w:color="auto"/>
              <w:right w:val="single" w:sz="4" w:space="0" w:color="auto"/>
            </w:tcBorders>
            <w:shd w:val="clear" w:color="auto" w:fill="auto"/>
            <w:noWrap/>
            <w:vAlign w:val="bottom"/>
          </w:tcPr>
          <w:p w14:paraId="413D9F25" w14:textId="77777777" w:rsidR="009B7D21" w:rsidRDefault="009B7D21">
            <w:pPr>
              <w:jc w:val="right"/>
              <w:rPr>
                <w:rFonts w:ascii="Arial" w:hAnsi="Arial" w:cs="Arial"/>
                <w:sz w:val="20"/>
                <w:szCs w:val="20"/>
              </w:rPr>
            </w:pPr>
            <w:r>
              <w:rPr>
                <w:rFonts w:ascii="Arial" w:hAnsi="Arial" w:cs="Arial"/>
                <w:sz w:val="20"/>
                <w:szCs w:val="20"/>
              </w:rPr>
              <w:t>-0,378</w:t>
            </w:r>
          </w:p>
        </w:tc>
        <w:tc>
          <w:tcPr>
            <w:tcW w:w="960" w:type="dxa"/>
            <w:tcBorders>
              <w:top w:val="nil"/>
              <w:left w:val="nil"/>
              <w:bottom w:val="single" w:sz="8" w:space="0" w:color="auto"/>
              <w:right w:val="single" w:sz="4" w:space="0" w:color="auto"/>
            </w:tcBorders>
            <w:shd w:val="clear" w:color="auto" w:fill="auto"/>
            <w:noWrap/>
            <w:vAlign w:val="bottom"/>
          </w:tcPr>
          <w:p w14:paraId="740F2069" w14:textId="77777777" w:rsidR="009B7D21" w:rsidRDefault="009B7D21">
            <w:pPr>
              <w:jc w:val="right"/>
              <w:rPr>
                <w:rFonts w:ascii="Arial" w:hAnsi="Arial" w:cs="Arial"/>
                <w:sz w:val="20"/>
                <w:szCs w:val="20"/>
              </w:rPr>
            </w:pPr>
            <w:r>
              <w:rPr>
                <w:rFonts w:ascii="Arial" w:hAnsi="Arial" w:cs="Arial"/>
                <w:sz w:val="20"/>
                <w:szCs w:val="20"/>
              </w:rPr>
              <w:t>-13,600</w:t>
            </w:r>
          </w:p>
        </w:tc>
        <w:tc>
          <w:tcPr>
            <w:tcW w:w="960" w:type="dxa"/>
            <w:tcBorders>
              <w:top w:val="nil"/>
              <w:left w:val="nil"/>
              <w:bottom w:val="single" w:sz="8" w:space="0" w:color="auto"/>
              <w:right w:val="single" w:sz="4" w:space="0" w:color="auto"/>
            </w:tcBorders>
            <w:shd w:val="clear" w:color="auto" w:fill="auto"/>
            <w:noWrap/>
            <w:vAlign w:val="bottom"/>
          </w:tcPr>
          <w:p w14:paraId="035B5169" w14:textId="77777777" w:rsidR="009B7D21" w:rsidRDefault="009B7D21">
            <w:pPr>
              <w:jc w:val="right"/>
              <w:rPr>
                <w:rFonts w:ascii="Arial" w:hAnsi="Arial" w:cs="Arial"/>
                <w:sz w:val="20"/>
                <w:szCs w:val="20"/>
              </w:rPr>
            </w:pPr>
            <w:r>
              <w:rPr>
                <w:rFonts w:ascii="Arial" w:hAnsi="Arial" w:cs="Arial"/>
                <w:sz w:val="20"/>
                <w:szCs w:val="20"/>
              </w:rPr>
              <w:t>13,222</w:t>
            </w:r>
          </w:p>
        </w:tc>
        <w:tc>
          <w:tcPr>
            <w:tcW w:w="1280" w:type="dxa"/>
            <w:tcBorders>
              <w:top w:val="nil"/>
              <w:left w:val="nil"/>
              <w:bottom w:val="single" w:sz="8" w:space="0" w:color="auto"/>
              <w:right w:val="single" w:sz="4" w:space="0" w:color="auto"/>
            </w:tcBorders>
            <w:shd w:val="clear" w:color="auto" w:fill="auto"/>
            <w:noWrap/>
            <w:vAlign w:val="bottom"/>
          </w:tcPr>
          <w:p w14:paraId="614EE6F5" w14:textId="77777777" w:rsidR="009B7D21" w:rsidRDefault="009B7D21">
            <w:pPr>
              <w:jc w:val="right"/>
              <w:rPr>
                <w:rFonts w:ascii="Arial" w:hAnsi="Arial" w:cs="Arial"/>
                <w:sz w:val="20"/>
                <w:szCs w:val="20"/>
              </w:rPr>
            </w:pPr>
            <w:r>
              <w:rPr>
                <w:rFonts w:ascii="Arial" w:hAnsi="Arial" w:cs="Arial"/>
                <w:sz w:val="20"/>
                <w:szCs w:val="20"/>
              </w:rPr>
              <w:t>2,118E-18</w:t>
            </w:r>
          </w:p>
        </w:tc>
        <w:tc>
          <w:tcPr>
            <w:tcW w:w="1280" w:type="dxa"/>
            <w:tcBorders>
              <w:top w:val="nil"/>
              <w:left w:val="nil"/>
              <w:bottom w:val="single" w:sz="8" w:space="0" w:color="auto"/>
              <w:right w:val="single" w:sz="4" w:space="0" w:color="auto"/>
            </w:tcBorders>
            <w:shd w:val="clear" w:color="auto" w:fill="auto"/>
            <w:noWrap/>
            <w:vAlign w:val="bottom"/>
          </w:tcPr>
          <w:p w14:paraId="2AFF3F97" w14:textId="77777777" w:rsidR="009B7D21" w:rsidRDefault="009B7D21">
            <w:pPr>
              <w:jc w:val="right"/>
              <w:rPr>
                <w:rFonts w:ascii="Arial" w:hAnsi="Arial" w:cs="Arial"/>
                <w:sz w:val="20"/>
                <w:szCs w:val="20"/>
              </w:rPr>
            </w:pPr>
            <w:r>
              <w:rPr>
                <w:rFonts w:ascii="Arial" w:hAnsi="Arial" w:cs="Arial"/>
                <w:sz w:val="20"/>
                <w:szCs w:val="20"/>
              </w:rPr>
              <w:t>9,378E-08</w:t>
            </w:r>
          </w:p>
        </w:tc>
        <w:tc>
          <w:tcPr>
            <w:tcW w:w="1060" w:type="dxa"/>
            <w:tcBorders>
              <w:top w:val="nil"/>
              <w:left w:val="nil"/>
              <w:bottom w:val="single" w:sz="8" w:space="0" w:color="auto"/>
              <w:right w:val="single" w:sz="4" w:space="0" w:color="auto"/>
            </w:tcBorders>
            <w:shd w:val="clear" w:color="auto" w:fill="auto"/>
            <w:noWrap/>
            <w:vAlign w:val="bottom"/>
          </w:tcPr>
          <w:p w14:paraId="1D373DA1" w14:textId="77777777" w:rsidR="009B7D21" w:rsidRDefault="009B7D21" w:rsidP="006D60A6">
            <w:pPr>
              <w:ind w:firstLineChars="100" w:firstLine="201"/>
              <w:jc w:val="right"/>
              <w:rPr>
                <w:rFonts w:ascii="Arial" w:hAnsi="Arial" w:cs="Arial"/>
                <w:b/>
                <w:bCs/>
                <w:sz w:val="20"/>
                <w:szCs w:val="20"/>
              </w:rPr>
            </w:pPr>
            <w:r>
              <w:rPr>
                <w:rFonts w:ascii="Arial" w:hAnsi="Arial" w:cs="Arial"/>
                <w:b/>
                <w:bCs/>
                <w:sz w:val="20"/>
                <w:szCs w:val="20"/>
              </w:rPr>
              <w:t>94</w:t>
            </w:r>
          </w:p>
        </w:tc>
        <w:tc>
          <w:tcPr>
            <w:tcW w:w="960" w:type="dxa"/>
            <w:vMerge/>
            <w:tcBorders>
              <w:top w:val="single" w:sz="8" w:space="0" w:color="auto"/>
              <w:left w:val="single" w:sz="4" w:space="0" w:color="auto"/>
              <w:bottom w:val="single" w:sz="8" w:space="0" w:color="000000"/>
              <w:right w:val="single" w:sz="8" w:space="0" w:color="auto"/>
            </w:tcBorders>
            <w:vAlign w:val="center"/>
          </w:tcPr>
          <w:p w14:paraId="6B43FEAF" w14:textId="77777777" w:rsidR="009B7D21" w:rsidRDefault="009B7D21">
            <w:pPr>
              <w:rPr>
                <w:rFonts w:ascii="Arial" w:hAnsi="Arial" w:cs="Arial"/>
                <w:b/>
                <w:bCs/>
                <w:sz w:val="20"/>
                <w:szCs w:val="20"/>
              </w:rPr>
            </w:pPr>
          </w:p>
        </w:tc>
      </w:tr>
      <w:tr w:rsidR="009B7D21" w14:paraId="10DBE2FB" w14:textId="77777777" w:rsidTr="009B7D21">
        <w:trPr>
          <w:trHeight w:val="255"/>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795095E" w14:textId="77777777" w:rsidR="009B7D21" w:rsidRDefault="009B7D21">
            <w:pPr>
              <w:jc w:val="center"/>
              <w:rPr>
                <w:rFonts w:ascii="Arial" w:hAnsi="Arial" w:cs="Arial"/>
                <w:sz w:val="20"/>
                <w:szCs w:val="20"/>
              </w:rPr>
            </w:pPr>
            <w:r>
              <w:rPr>
                <w:rFonts w:ascii="Arial" w:hAnsi="Arial" w:cs="Arial"/>
                <w:sz w:val="20"/>
                <w:szCs w:val="20"/>
              </w:rPr>
              <w:t>3</w:t>
            </w:r>
          </w:p>
        </w:tc>
        <w:tc>
          <w:tcPr>
            <w:tcW w:w="500" w:type="dxa"/>
            <w:tcBorders>
              <w:top w:val="nil"/>
              <w:left w:val="nil"/>
              <w:bottom w:val="single" w:sz="4" w:space="0" w:color="auto"/>
              <w:right w:val="single" w:sz="4" w:space="0" w:color="auto"/>
            </w:tcBorders>
            <w:shd w:val="clear" w:color="auto" w:fill="auto"/>
            <w:noWrap/>
            <w:vAlign w:val="bottom"/>
          </w:tcPr>
          <w:p w14:paraId="6B9538F5" w14:textId="77777777" w:rsidR="009B7D21" w:rsidRDefault="009B7D21">
            <w:pPr>
              <w:jc w:val="center"/>
              <w:rPr>
                <w:rFonts w:ascii="Arial" w:hAnsi="Arial" w:cs="Arial"/>
                <w:sz w:val="20"/>
                <w:szCs w:val="20"/>
              </w:rPr>
            </w:pPr>
            <w:r>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14:paraId="56B6F8BA" w14:textId="77777777" w:rsidR="009B7D21" w:rsidRDefault="009B7D21">
            <w:pPr>
              <w:jc w:val="right"/>
              <w:rPr>
                <w:rFonts w:ascii="Arial" w:hAnsi="Arial" w:cs="Arial"/>
                <w:sz w:val="20"/>
                <w:szCs w:val="20"/>
              </w:rPr>
            </w:pPr>
            <w:r>
              <w:rPr>
                <w:rFonts w:ascii="Arial" w:hAnsi="Arial" w:cs="Arial"/>
                <w:sz w:val="20"/>
                <w:szCs w:val="20"/>
              </w:rPr>
              <w:t>-1,511</w:t>
            </w:r>
          </w:p>
        </w:tc>
        <w:tc>
          <w:tcPr>
            <w:tcW w:w="960" w:type="dxa"/>
            <w:tcBorders>
              <w:top w:val="nil"/>
              <w:left w:val="nil"/>
              <w:bottom w:val="single" w:sz="4" w:space="0" w:color="auto"/>
              <w:right w:val="single" w:sz="4" w:space="0" w:color="auto"/>
            </w:tcBorders>
            <w:shd w:val="clear" w:color="auto" w:fill="auto"/>
            <w:noWrap/>
            <w:vAlign w:val="bottom"/>
          </w:tcPr>
          <w:p w14:paraId="4470DCCC" w14:textId="77777777" w:rsidR="009B7D21" w:rsidRDefault="009B7D21">
            <w:pPr>
              <w:jc w:val="right"/>
              <w:rPr>
                <w:rFonts w:ascii="Arial" w:hAnsi="Arial" w:cs="Arial"/>
                <w:sz w:val="20"/>
                <w:szCs w:val="20"/>
              </w:rPr>
            </w:pPr>
            <w:r>
              <w:rPr>
                <w:rFonts w:ascii="Arial" w:hAnsi="Arial" w:cs="Arial"/>
                <w:sz w:val="20"/>
                <w:szCs w:val="20"/>
              </w:rPr>
              <w:t>-3,400</w:t>
            </w:r>
          </w:p>
        </w:tc>
        <w:tc>
          <w:tcPr>
            <w:tcW w:w="960" w:type="dxa"/>
            <w:tcBorders>
              <w:top w:val="nil"/>
              <w:left w:val="nil"/>
              <w:bottom w:val="single" w:sz="4" w:space="0" w:color="auto"/>
              <w:right w:val="single" w:sz="4" w:space="0" w:color="auto"/>
            </w:tcBorders>
            <w:shd w:val="clear" w:color="auto" w:fill="auto"/>
            <w:noWrap/>
            <w:vAlign w:val="bottom"/>
          </w:tcPr>
          <w:p w14:paraId="38D36729" w14:textId="77777777" w:rsidR="009B7D21" w:rsidRDefault="009B7D21">
            <w:pPr>
              <w:jc w:val="right"/>
              <w:rPr>
                <w:rFonts w:ascii="Arial" w:hAnsi="Arial" w:cs="Arial"/>
                <w:sz w:val="20"/>
                <w:szCs w:val="20"/>
              </w:rPr>
            </w:pPr>
            <w:r>
              <w:rPr>
                <w:rFonts w:ascii="Arial" w:hAnsi="Arial" w:cs="Arial"/>
                <w:sz w:val="20"/>
                <w:szCs w:val="20"/>
              </w:rPr>
              <w:t>1,889</w:t>
            </w:r>
          </w:p>
        </w:tc>
        <w:tc>
          <w:tcPr>
            <w:tcW w:w="1280" w:type="dxa"/>
            <w:tcBorders>
              <w:top w:val="nil"/>
              <w:left w:val="nil"/>
              <w:bottom w:val="single" w:sz="4" w:space="0" w:color="auto"/>
              <w:right w:val="single" w:sz="4" w:space="0" w:color="auto"/>
            </w:tcBorders>
            <w:shd w:val="clear" w:color="auto" w:fill="auto"/>
            <w:noWrap/>
            <w:vAlign w:val="bottom"/>
          </w:tcPr>
          <w:p w14:paraId="21295CB3" w14:textId="77777777" w:rsidR="009B7D21" w:rsidRDefault="009B7D21">
            <w:pPr>
              <w:jc w:val="right"/>
              <w:rPr>
                <w:rFonts w:ascii="Arial" w:hAnsi="Arial" w:cs="Arial"/>
                <w:sz w:val="20"/>
                <w:szCs w:val="20"/>
              </w:rPr>
            </w:pPr>
            <w:r>
              <w:rPr>
                <w:rFonts w:ascii="Arial" w:hAnsi="Arial" w:cs="Arial"/>
                <w:sz w:val="20"/>
                <w:szCs w:val="20"/>
              </w:rPr>
              <w:t>3,026E-19</w:t>
            </w:r>
          </w:p>
        </w:tc>
        <w:tc>
          <w:tcPr>
            <w:tcW w:w="1280" w:type="dxa"/>
            <w:tcBorders>
              <w:top w:val="nil"/>
              <w:left w:val="nil"/>
              <w:bottom w:val="single" w:sz="4" w:space="0" w:color="auto"/>
              <w:right w:val="single" w:sz="4" w:space="0" w:color="auto"/>
            </w:tcBorders>
            <w:shd w:val="clear" w:color="auto" w:fill="auto"/>
            <w:noWrap/>
            <w:vAlign w:val="bottom"/>
          </w:tcPr>
          <w:p w14:paraId="4AD5F979" w14:textId="77777777" w:rsidR="009B7D21" w:rsidRDefault="009B7D21">
            <w:pPr>
              <w:jc w:val="right"/>
              <w:rPr>
                <w:rFonts w:ascii="Arial" w:hAnsi="Arial" w:cs="Arial"/>
                <w:sz w:val="20"/>
                <w:szCs w:val="20"/>
              </w:rPr>
            </w:pPr>
            <w:r>
              <w:rPr>
                <w:rFonts w:ascii="Arial" w:hAnsi="Arial" w:cs="Arial"/>
                <w:sz w:val="20"/>
                <w:szCs w:val="20"/>
              </w:rPr>
              <w:t>6,565E-07</w:t>
            </w:r>
          </w:p>
        </w:tc>
        <w:tc>
          <w:tcPr>
            <w:tcW w:w="1060" w:type="dxa"/>
            <w:tcBorders>
              <w:top w:val="nil"/>
              <w:left w:val="nil"/>
              <w:bottom w:val="single" w:sz="4" w:space="0" w:color="auto"/>
              <w:right w:val="single" w:sz="4" w:space="0" w:color="auto"/>
            </w:tcBorders>
            <w:shd w:val="clear" w:color="auto" w:fill="auto"/>
            <w:noWrap/>
            <w:vAlign w:val="bottom"/>
          </w:tcPr>
          <w:p w14:paraId="0DD06483" w14:textId="77777777" w:rsidR="009B7D21" w:rsidRDefault="009B7D21" w:rsidP="006D60A6">
            <w:pPr>
              <w:ind w:firstLineChars="100" w:firstLine="201"/>
              <w:jc w:val="right"/>
              <w:rPr>
                <w:rFonts w:ascii="Arial" w:hAnsi="Arial" w:cs="Arial"/>
                <w:b/>
                <w:bCs/>
                <w:sz w:val="20"/>
                <w:szCs w:val="20"/>
              </w:rPr>
            </w:pPr>
            <w:r>
              <w:rPr>
                <w:rFonts w:ascii="Arial" w:hAnsi="Arial" w:cs="Arial"/>
                <w:b/>
                <w:bCs/>
                <w:sz w:val="20"/>
                <w:szCs w:val="20"/>
              </w:rPr>
              <w:t>656</w:t>
            </w:r>
          </w:p>
        </w:tc>
        <w:tc>
          <w:tcPr>
            <w:tcW w:w="960" w:type="dxa"/>
            <w:tcBorders>
              <w:top w:val="nil"/>
              <w:left w:val="nil"/>
              <w:bottom w:val="single" w:sz="4" w:space="0" w:color="auto"/>
              <w:right w:val="single" w:sz="8" w:space="0" w:color="auto"/>
            </w:tcBorders>
            <w:shd w:val="clear" w:color="auto" w:fill="auto"/>
            <w:noWrap/>
            <w:vAlign w:val="bottom"/>
          </w:tcPr>
          <w:p w14:paraId="0EACA8FE" w14:textId="77777777" w:rsidR="009B7D21" w:rsidRDefault="009B7D21">
            <w:pPr>
              <w:rPr>
                <w:rFonts w:ascii="Arial" w:hAnsi="Arial" w:cs="Arial"/>
                <w:b/>
                <w:bCs/>
                <w:color w:val="FF9900"/>
                <w:sz w:val="20"/>
                <w:szCs w:val="20"/>
              </w:rPr>
            </w:pPr>
            <w:r>
              <w:rPr>
                <w:rFonts w:ascii="Arial" w:hAnsi="Arial" w:cs="Arial"/>
                <w:b/>
                <w:bCs/>
                <w:color w:val="FF9900"/>
                <w:sz w:val="20"/>
                <w:szCs w:val="20"/>
              </w:rPr>
              <w:t>oranžová</w:t>
            </w:r>
          </w:p>
        </w:tc>
      </w:tr>
      <w:tr w:rsidR="009B7D21" w14:paraId="1B5EE47E" w14:textId="77777777" w:rsidTr="009B7D21">
        <w:trPr>
          <w:trHeight w:val="255"/>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E9F6E54" w14:textId="77777777" w:rsidR="009B7D21" w:rsidRDefault="009B7D21">
            <w:pPr>
              <w:jc w:val="center"/>
              <w:rPr>
                <w:rFonts w:ascii="Arial" w:hAnsi="Arial" w:cs="Arial"/>
                <w:sz w:val="20"/>
                <w:szCs w:val="20"/>
              </w:rPr>
            </w:pPr>
            <w:r>
              <w:rPr>
                <w:rFonts w:ascii="Arial" w:hAnsi="Arial" w:cs="Arial"/>
                <w:sz w:val="20"/>
                <w:szCs w:val="20"/>
              </w:rPr>
              <w:t>4</w:t>
            </w:r>
          </w:p>
        </w:tc>
        <w:tc>
          <w:tcPr>
            <w:tcW w:w="500" w:type="dxa"/>
            <w:tcBorders>
              <w:top w:val="nil"/>
              <w:left w:val="nil"/>
              <w:bottom w:val="single" w:sz="4" w:space="0" w:color="auto"/>
              <w:right w:val="single" w:sz="4" w:space="0" w:color="auto"/>
            </w:tcBorders>
            <w:shd w:val="clear" w:color="auto" w:fill="auto"/>
            <w:noWrap/>
            <w:vAlign w:val="bottom"/>
          </w:tcPr>
          <w:p w14:paraId="255880BB" w14:textId="77777777" w:rsidR="009B7D21" w:rsidRDefault="009B7D21">
            <w:pPr>
              <w:jc w:val="center"/>
              <w:rPr>
                <w:rFonts w:ascii="Arial" w:hAnsi="Arial" w:cs="Arial"/>
                <w:sz w:val="20"/>
                <w:szCs w:val="20"/>
              </w:rPr>
            </w:pPr>
            <w:r>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14:paraId="4F4F5535" w14:textId="77777777" w:rsidR="009B7D21" w:rsidRDefault="009B7D21">
            <w:pPr>
              <w:jc w:val="right"/>
              <w:rPr>
                <w:rFonts w:ascii="Arial" w:hAnsi="Arial" w:cs="Arial"/>
                <w:sz w:val="20"/>
                <w:szCs w:val="20"/>
              </w:rPr>
            </w:pPr>
            <w:r>
              <w:rPr>
                <w:rFonts w:ascii="Arial" w:hAnsi="Arial" w:cs="Arial"/>
                <w:sz w:val="20"/>
                <w:szCs w:val="20"/>
              </w:rPr>
              <w:t>-0,850</w:t>
            </w:r>
          </w:p>
        </w:tc>
        <w:tc>
          <w:tcPr>
            <w:tcW w:w="960" w:type="dxa"/>
            <w:tcBorders>
              <w:top w:val="nil"/>
              <w:left w:val="nil"/>
              <w:bottom w:val="single" w:sz="4" w:space="0" w:color="auto"/>
              <w:right w:val="single" w:sz="4" w:space="0" w:color="auto"/>
            </w:tcBorders>
            <w:shd w:val="clear" w:color="auto" w:fill="auto"/>
            <w:noWrap/>
            <w:vAlign w:val="bottom"/>
          </w:tcPr>
          <w:p w14:paraId="3184B2D6" w14:textId="77777777" w:rsidR="009B7D21" w:rsidRDefault="009B7D21">
            <w:pPr>
              <w:jc w:val="right"/>
              <w:rPr>
                <w:rFonts w:ascii="Arial" w:hAnsi="Arial" w:cs="Arial"/>
                <w:sz w:val="20"/>
                <w:szCs w:val="20"/>
              </w:rPr>
            </w:pPr>
            <w:r>
              <w:rPr>
                <w:rFonts w:ascii="Arial" w:hAnsi="Arial" w:cs="Arial"/>
                <w:sz w:val="20"/>
                <w:szCs w:val="20"/>
              </w:rPr>
              <w:t>-3,400</w:t>
            </w:r>
          </w:p>
        </w:tc>
        <w:tc>
          <w:tcPr>
            <w:tcW w:w="960" w:type="dxa"/>
            <w:tcBorders>
              <w:top w:val="nil"/>
              <w:left w:val="nil"/>
              <w:bottom w:val="single" w:sz="4" w:space="0" w:color="auto"/>
              <w:right w:val="single" w:sz="4" w:space="0" w:color="auto"/>
            </w:tcBorders>
            <w:shd w:val="clear" w:color="auto" w:fill="auto"/>
            <w:noWrap/>
            <w:vAlign w:val="bottom"/>
          </w:tcPr>
          <w:p w14:paraId="4ACD9AC0" w14:textId="77777777" w:rsidR="009B7D21" w:rsidRDefault="009B7D21">
            <w:pPr>
              <w:jc w:val="right"/>
              <w:rPr>
                <w:rFonts w:ascii="Arial" w:hAnsi="Arial" w:cs="Arial"/>
                <w:sz w:val="20"/>
                <w:szCs w:val="20"/>
              </w:rPr>
            </w:pPr>
            <w:r>
              <w:rPr>
                <w:rFonts w:ascii="Arial" w:hAnsi="Arial" w:cs="Arial"/>
                <w:sz w:val="20"/>
                <w:szCs w:val="20"/>
              </w:rPr>
              <w:t>2,550</w:t>
            </w:r>
          </w:p>
        </w:tc>
        <w:tc>
          <w:tcPr>
            <w:tcW w:w="1280" w:type="dxa"/>
            <w:tcBorders>
              <w:top w:val="nil"/>
              <w:left w:val="nil"/>
              <w:bottom w:val="single" w:sz="4" w:space="0" w:color="auto"/>
              <w:right w:val="single" w:sz="4" w:space="0" w:color="auto"/>
            </w:tcBorders>
            <w:shd w:val="clear" w:color="auto" w:fill="auto"/>
            <w:noWrap/>
            <w:vAlign w:val="bottom"/>
          </w:tcPr>
          <w:p w14:paraId="4CB69DE0" w14:textId="77777777" w:rsidR="009B7D21" w:rsidRDefault="009B7D21">
            <w:pPr>
              <w:jc w:val="right"/>
              <w:rPr>
                <w:rFonts w:ascii="Arial" w:hAnsi="Arial" w:cs="Arial"/>
                <w:sz w:val="20"/>
                <w:szCs w:val="20"/>
              </w:rPr>
            </w:pPr>
            <w:r>
              <w:rPr>
                <w:rFonts w:ascii="Arial" w:hAnsi="Arial" w:cs="Arial"/>
                <w:sz w:val="20"/>
                <w:szCs w:val="20"/>
              </w:rPr>
              <w:t>4,085E-19</w:t>
            </w:r>
          </w:p>
        </w:tc>
        <w:tc>
          <w:tcPr>
            <w:tcW w:w="1280" w:type="dxa"/>
            <w:tcBorders>
              <w:top w:val="nil"/>
              <w:left w:val="nil"/>
              <w:bottom w:val="single" w:sz="4" w:space="0" w:color="auto"/>
              <w:right w:val="single" w:sz="4" w:space="0" w:color="auto"/>
            </w:tcBorders>
            <w:shd w:val="clear" w:color="auto" w:fill="auto"/>
            <w:noWrap/>
            <w:vAlign w:val="bottom"/>
          </w:tcPr>
          <w:p w14:paraId="14D38A52" w14:textId="77777777" w:rsidR="009B7D21" w:rsidRDefault="009B7D21">
            <w:pPr>
              <w:jc w:val="right"/>
              <w:rPr>
                <w:rFonts w:ascii="Arial" w:hAnsi="Arial" w:cs="Arial"/>
                <w:sz w:val="20"/>
                <w:szCs w:val="20"/>
              </w:rPr>
            </w:pPr>
            <w:r>
              <w:rPr>
                <w:rFonts w:ascii="Arial" w:hAnsi="Arial" w:cs="Arial"/>
                <w:sz w:val="20"/>
                <w:szCs w:val="20"/>
              </w:rPr>
              <w:t>4,863E-07</w:t>
            </w:r>
          </w:p>
        </w:tc>
        <w:tc>
          <w:tcPr>
            <w:tcW w:w="1060" w:type="dxa"/>
            <w:tcBorders>
              <w:top w:val="nil"/>
              <w:left w:val="nil"/>
              <w:bottom w:val="single" w:sz="4" w:space="0" w:color="auto"/>
              <w:right w:val="single" w:sz="4" w:space="0" w:color="auto"/>
            </w:tcBorders>
            <w:shd w:val="clear" w:color="auto" w:fill="auto"/>
            <w:noWrap/>
            <w:vAlign w:val="bottom"/>
          </w:tcPr>
          <w:p w14:paraId="126E2D81" w14:textId="77777777" w:rsidR="009B7D21" w:rsidRDefault="009B7D21" w:rsidP="006D60A6">
            <w:pPr>
              <w:ind w:firstLineChars="100" w:firstLine="201"/>
              <w:jc w:val="right"/>
              <w:rPr>
                <w:rFonts w:ascii="Arial" w:hAnsi="Arial" w:cs="Arial"/>
                <w:b/>
                <w:bCs/>
                <w:sz w:val="20"/>
                <w:szCs w:val="20"/>
              </w:rPr>
            </w:pPr>
            <w:r>
              <w:rPr>
                <w:rFonts w:ascii="Arial" w:hAnsi="Arial" w:cs="Arial"/>
                <w:b/>
                <w:bCs/>
                <w:sz w:val="20"/>
                <w:szCs w:val="20"/>
              </w:rPr>
              <w:t>486</w:t>
            </w:r>
          </w:p>
        </w:tc>
        <w:tc>
          <w:tcPr>
            <w:tcW w:w="960" w:type="dxa"/>
            <w:tcBorders>
              <w:top w:val="nil"/>
              <w:left w:val="nil"/>
              <w:bottom w:val="single" w:sz="4" w:space="0" w:color="auto"/>
              <w:right w:val="single" w:sz="8" w:space="0" w:color="auto"/>
            </w:tcBorders>
            <w:shd w:val="clear" w:color="auto" w:fill="auto"/>
            <w:noWrap/>
            <w:vAlign w:val="bottom"/>
          </w:tcPr>
          <w:p w14:paraId="27D46CCE" w14:textId="77777777" w:rsidR="009B7D21" w:rsidRDefault="009B7D21">
            <w:pPr>
              <w:rPr>
                <w:rFonts w:ascii="Arial" w:hAnsi="Arial" w:cs="Arial"/>
                <w:b/>
                <w:bCs/>
                <w:color w:val="339966"/>
                <w:sz w:val="20"/>
                <w:szCs w:val="20"/>
              </w:rPr>
            </w:pPr>
            <w:r>
              <w:rPr>
                <w:rFonts w:ascii="Arial" w:hAnsi="Arial" w:cs="Arial"/>
                <w:b/>
                <w:bCs/>
                <w:color w:val="339966"/>
                <w:sz w:val="20"/>
                <w:szCs w:val="20"/>
              </w:rPr>
              <w:t>zelená</w:t>
            </w:r>
          </w:p>
        </w:tc>
      </w:tr>
      <w:tr w:rsidR="009B7D21" w14:paraId="173AC378" w14:textId="77777777" w:rsidTr="009B7D21">
        <w:trPr>
          <w:trHeight w:val="255"/>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2707E75" w14:textId="77777777" w:rsidR="009B7D21" w:rsidRDefault="009B7D21">
            <w:pPr>
              <w:jc w:val="center"/>
              <w:rPr>
                <w:rFonts w:ascii="Arial" w:hAnsi="Arial" w:cs="Arial"/>
                <w:sz w:val="20"/>
                <w:szCs w:val="20"/>
              </w:rPr>
            </w:pPr>
            <w:r>
              <w:rPr>
                <w:rFonts w:ascii="Arial" w:hAnsi="Arial" w:cs="Arial"/>
                <w:sz w:val="20"/>
                <w:szCs w:val="20"/>
              </w:rPr>
              <w:t>5</w:t>
            </w:r>
          </w:p>
        </w:tc>
        <w:tc>
          <w:tcPr>
            <w:tcW w:w="500" w:type="dxa"/>
            <w:tcBorders>
              <w:top w:val="nil"/>
              <w:left w:val="nil"/>
              <w:bottom w:val="single" w:sz="4" w:space="0" w:color="auto"/>
              <w:right w:val="single" w:sz="4" w:space="0" w:color="auto"/>
            </w:tcBorders>
            <w:shd w:val="clear" w:color="auto" w:fill="auto"/>
            <w:noWrap/>
            <w:vAlign w:val="bottom"/>
          </w:tcPr>
          <w:p w14:paraId="50B00952" w14:textId="77777777" w:rsidR="009B7D21" w:rsidRDefault="009B7D21">
            <w:pPr>
              <w:jc w:val="center"/>
              <w:rPr>
                <w:rFonts w:ascii="Arial" w:hAnsi="Arial" w:cs="Arial"/>
                <w:sz w:val="20"/>
                <w:szCs w:val="20"/>
              </w:rPr>
            </w:pPr>
            <w:r>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14:paraId="0C627F2F" w14:textId="77777777" w:rsidR="009B7D21" w:rsidRDefault="009B7D21">
            <w:pPr>
              <w:jc w:val="right"/>
              <w:rPr>
                <w:rFonts w:ascii="Arial" w:hAnsi="Arial" w:cs="Arial"/>
                <w:sz w:val="20"/>
                <w:szCs w:val="20"/>
              </w:rPr>
            </w:pPr>
            <w:r>
              <w:rPr>
                <w:rFonts w:ascii="Arial" w:hAnsi="Arial" w:cs="Arial"/>
                <w:sz w:val="20"/>
                <w:szCs w:val="20"/>
              </w:rPr>
              <w:t>-0,544</w:t>
            </w:r>
          </w:p>
        </w:tc>
        <w:tc>
          <w:tcPr>
            <w:tcW w:w="960" w:type="dxa"/>
            <w:tcBorders>
              <w:top w:val="nil"/>
              <w:left w:val="nil"/>
              <w:bottom w:val="single" w:sz="4" w:space="0" w:color="auto"/>
              <w:right w:val="single" w:sz="4" w:space="0" w:color="auto"/>
            </w:tcBorders>
            <w:shd w:val="clear" w:color="auto" w:fill="auto"/>
            <w:noWrap/>
            <w:vAlign w:val="bottom"/>
          </w:tcPr>
          <w:p w14:paraId="39B5F33C" w14:textId="77777777" w:rsidR="009B7D21" w:rsidRDefault="009B7D21">
            <w:pPr>
              <w:jc w:val="right"/>
              <w:rPr>
                <w:rFonts w:ascii="Arial" w:hAnsi="Arial" w:cs="Arial"/>
                <w:sz w:val="20"/>
                <w:szCs w:val="20"/>
              </w:rPr>
            </w:pPr>
            <w:r>
              <w:rPr>
                <w:rFonts w:ascii="Arial" w:hAnsi="Arial" w:cs="Arial"/>
                <w:sz w:val="20"/>
                <w:szCs w:val="20"/>
              </w:rPr>
              <w:t>-3,400</w:t>
            </w:r>
          </w:p>
        </w:tc>
        <w:tc>
          <w:tcPr>
            <w:tcW w:w="960" w:type="dxa"/>
            <w:tcBorders>
              <w:top w:val="nil"/>
              <w:left w:val="nil"/>
              <w:bottom w:val="single" w:sz="4" w:space="0" w:color="auto"/>
              <w:right w:val="single" w:sz="4" w:space="0" w:color="auto"/>
            </w:tcBorders>
            <w:shd w:val="clear" w:color="auto" w:fill="auto"/>
            <w:noWrap/>
            <w:vAlign w:val="bottom"/>
          </w:tcPr>
          <w:p w14:paraId="14411160" w14:textId="77777777" w:rsidR="009B7D21" w:rsidRDefault="009B7D21">
            <w:pPr>
              <w:jc w:val="right"/>
              <w:rPr>
                <w:rFonts w:ascii="Arial" w:hAnsi="Arial" w:cs="Arial"/>
                <w:sz w:val="20"/>
                <w:szCs w:val="20"/>
              </w:rPr>
            </w:pPr>
            <w:r>
              <w:rPr>
                <w:rFonts w:ascii="Arial" w:hAnsi="Arial" w:cs="Arial"/>
                <w:sz w:val="20"/>
                <w:szCs w:val="20"/>
              </w:rPr>
              <w:t>2,856</w:t>
            </w:r>
          </w:p>
        </w:tc>
        <w:tc>
          <w:tcPr>
            <w:tcW w:w="1280" w:type="dxa"/>
            <w:tcBorders>
              <w:top w:val="nil"/>
              <w:left w:val="nil"/>
              <w:bottom w:val="single" w:sz="4" w:space="0" w:color="auto"/>
              <w:right w:val="single" w:sz="4" w:space="0" w:color="auto"/>
            </w:tcBorders>
            <w:shd w:val="clear" w:color="auto" w:fill="auto"/>
            <w:noWrap/>
            <w:vAlign w:val="bottom"/>
          </w:tcPr>
          <w:p w14:paraId="1F445BC8" w14:textId="77777777" w:rsidR="009B7D21" w:rsidRDefault="009B7D21">
            <w:pPr>
              <w:jc w:val="right"/>
              <w:rPr>
                <w:rFonts w:ascii="Arial" w:hAnsi="Arial" w:cs="Arial"/>
                <w:sz w:val="20"/>
                <w:szCs w:val="20"/>
              </w:rPr>
            </w:pPr>
            <w:r>
              <w:rPr>
                <w:rFonts w:ascii="Arial" w:hAnsi="Arial" w:cs="Arial"/>
                <w:sz w:val="20"/>
                <w:szCs w:val="20"/>
              </w:rPr>
              <w:t>4,575E-19</w:t>
            </w:r>
          </w:p>
        </w:tc>
        <w:tc>
          <w:tcPr>
            <w:tcW w:w="1280" w:type="dxa"/>
            <w:tcBorders>
              <w:top w:val="nil"/>
              <w:left w:val="nil"/>
              <w:bottom w:val="single" w:sz="4" w:space="0" w:color="auto"/>
              <w:right w:val="single" w:sz="4" w:space="0" w:color="auto"/>
            </w:tcBorders>
            <w:shd w:val="clear" w:color="auto" w:fill="auto"/>
            <w:noWrap/>
            <w:vAlign w:val="bottom"/>
          </w:tcPr>
          <w:p w14:paraId="1C81BB36" w14:textId="77777777" w:rsidR="009B7D21" w:rsidRDefault="009B7D21">
            <w:pPr>
              <w:jc w:val="right"/>
              <w:rPr>
                <w:rFonts w:ascii="Arial" w:hAnsi="Arial" w:cs="Arial"/>
                <w:sz w:val="20"/>
                <w:szCs w:val="20"/>
              </w:rPr>
            </w:pPr>
            <w:r>
              <w:rPr>
                <w:rFonts w:ascii="Arial" w:hAnsi="Arial" w:cs="Arial"/>
                <w:sz w:val="20"/>
                <w:szCs w:val="20"/>
              </w:rPr>
              <w:t>4,342E-07</w:t>
            </w:r>
          </w:p>
        </w:tc>
        <w:tc>
          <w:tcPr>
            <w:tcW w:w="1060" w:type="dxa"/>
            <w:tcBorders>
              <w:top w:val="nil"/>
              <w:left w:val="nil"/>
              <w:bottom w:val="single" w:sz="4" w:space="0" w:color="auto"/>
              <w:right w:val="single" w:sz="4" w:space="0" w:color="auto"/>
            </w:tcBorders>
            <w:shd w:val="clear" w:color="auto" w:fill="auto"/>
            <w:noWrap/>
            <w:vAlign w:val="bottom"/>
          </w:tcPr>
          <w:p w14:paraId="37F7B8E5" w14:textId="77777777" w:rsidR="009B7D21" w:rsidRDefault="009B7D21" w:rsidP="006D60A6">
            <w:pPr>
              <w:ind w:firstLineChars="100" w:firstLine="201"/>
              <w:jc w:val="right"/>
              <w:rPr>
                <w:rFonts w:ascii="Arial" w:hAnsi="Arial" w:cs="Arial"/>
                <w:b/>
                <w:bCs/>
                <w:sz w:val="20"/>
                <w:szCs w:val="20"/>
              </w:rPr>
            </w:pPr>
            <w:r>
              <w:rPr>
                <w:rFonts w:ascii="Arial" w:hAnsi="Arial" w:cs="Arial"/>
                <w:b/>
                <w:bCs/>
                <w:sz w:val="20"/>
                <w:szCs w:val="20"/>
              </w:rPr>
              <w:t>434</w:t>
            </w:r>
          </w:p>
        </w:tc>
        <w:tc>
          <w:tcPr>
            <w:tcW w:w="960" w:type="dxa"/>
            <w:tcBorders>
              <w:top w:val="nil"/>
              <w:left w:val="nil"/>
              <w:bottom w:val="single" w:sz="4" w:space="0" w:color="auto"/>
              <w:right w:val="single" w:sz="8" w:space="0" w:color="auto"/>
            </w:tcBorders>
            <w:shd w:val="clear" w:color="auto" w:fill="auto"/>
            <w:noWrap/>
            <w:vAlign w:val="bottom"/>
          </w:tcPr>
          <w:p w14:paraId="357CFE76" w14:textId="77777777" w:rsidR="009B7D21" w:rsidRDefault="009B7D21">
            <w:pPr>
              <w:rPr>
                <w:rFonts w:ascii="Arial" w:hAnsi="Arial" w:cs="Arial"/>
                <w:b/>
                <w:bCs/>
                <w:color w:val="0000FF"/>
                <w:sz w:val="20"/>
                <w:szCs w:val="20"/>
              </w:rPr>
            </w:pPr>
            <w:r>
              <w:rPr>
                <w:rFonts w:ascii="Arial" w:hAnsi="Arial" w:cs="Arial"/>
                <w:b/>
                <w:bCs/>
                <w:color w:val="0000FF"/>
                <w:sz w:val="20"/>
                <w:szCs w:val="20"/>
              </w:rPr>
              <w:t>modrá</w:t>
            </w:r>
          </w:p>
        </w:tc>
      </w:tr>
      <w:tr w:rsidR="009B7D21" w14:paraId="5C59BB27" w14:textId="77777777" w:rsidTr="009B7D21">
        <w:trPr>
          <w:trHeight w:val="270"/>
        </w:trPr>
        <w:tc>
          <w:tcPr>
            <w:tcW w:w="500" w:type="dxa"/>
            <w:tcBorders>
              <w:top w:val="nil"/>
              <w:left w:val="single" w:sz="8" w:space="0" w:color="auto"/>
              <w:bottom w:val="single" w:sz="8" w:space="0" w:color="auto"/>
              <w:right w:val="single" w:sz="4" w:space="0" w:color="auto"/>
            </w:tcBorders>
            <w:shd w:val="clear" w:color="auto" w:fill="auto"/>
            <w:noWrap/>
            <w:vAlign w:val="bottom"/>
          </w:tcPr>
          <w:p w14:paraId="44699AD3" w14:textId="77777777" w:rsidR="009B7D21" w:rsidRDefault="009B7D21">
            <w:pPr>
              <w:jc w:val="center"/>
              <w:rPr>
                <w:rFonts w:ascii="Arial" w:hAnsi="Arial" w:cs="Arial"/>
                <w:sz w:val="20"/>
                <w:szCs w:val="20"/>
              </w:rPr>
            </w:pPr>
            <w:r>
              <w:rPr>
                <w:rFonts w:ascii="Arial" w:hAnsi="Arial" w:cs="Arial"/>
                <w:sz w:val="20"/>
                <w:szCs w:val="20"/>
              </w:rPr>
              <w:t>6</w:t>
            </w:r>
          </w:p>
        </w:tc>
        <w:tc>
          <w:tcPr>
            <w:tcW w:w="500" w:type="dxa"/>
            <w:tcBorders>
              <w:top w:val="nil"/>
              <w:left w:val="nil"/>
              <w:bottom w:val="single" w:sz="8" w:space="0" w:color="auto"/>
              <w:right w:val="single" w:sz="4" w:space="0" w:color="auto"/>
            </w:tcBorders>
            <w:shd w:val="clear" w:color="auto" w:fill="auto"/>
            <w:noWrap/>
            <w:vAlign w:val="bottom"/>
          </w:tcPr>
          <w:p w14:paraId="22656E64" w14:textId="77777777" w:rsidR="009B7D21" w:rsidRDefault="009B7D21">
            <w:pPr>
              <w:jc w:val="center"/>
              <w:rPr>
                <w:rFonts w:ascii="Arial" w:hAnsi="Arial" w:cs="Arial"/>
                <w:sz w:val="20"/>
                <w:szCs w:val="20"/>
              </w:rPr>
            </w:pPr>
            <w:r>
              <w:rPr>
                <w:rFonts w:ascii="Arial" w:hAnsi="Arial" w:cs="Arial"/>
                <w:sz w:val="20"/>
                <w:szCs w:val="20"/>
              </w:rPr>
              <w:t>2</w:t>
            </w:r>
          </w:p>
        </w:tc>
        <w:tc>
          <w:tcPr>
            <w:tcW w:w="960" w:type="dxa"/>
            <w:tcBorders>
              <w:top w:val="nil"/>
              <w:left w:val="nil"/>
              <w:bottom w:val="single" w:sz="8" w:space="0" w:color="auto"/>
              <w:right w:val="single" w:sz="4" w:space="0" w:color="auto"/>
            </w:tcBorders>
            <w:shd w:val="clear" w:color="auto" w:fill="auto"/>
            <w:noWrap/>
            <w:vAlign w:val="bottom"/>
          </w:tcPr>
          <w:p w14:paraId="2848AEB9" w14:textId="77777777" w:rsidR="009B7D21" w:rsidRDefault="009B7D21">
            <w:pPr>
              <w:jc w:val="right"/>
              <w:rPr>
                <w:rFonts w:ascii="Arial" w:hAnsi="Arial" w:cs="Arial"/>
                <w:sz w:val="20"/>
                <w:szCs w:val="20"/>
              </w:rPr>
            </w:pPr>
            <w:r>
              <w:rPr>
                <w:rFonts w:ascii="Arial" w:hAnsi="Arial" w:cs="Arial"/>
                <w:sz w:val="20"/>
                <w:szCs w:val="20"/>
              </w:rPr>
              <w:t>-0,378</w:t>
            </w:r>
          </w:p>
        </w:tc>
        <w:tc>
          <w:tcPr>
            <w:tcW w:w="960" w:type="dxa"/>
            <w:tcBorders>
              <w:top w:val="nil"/>
              <w:left w:val="nil"/>
              <w:bottom w:val="single" w:sz="8" w:space="0" w:color="auto"/>
              <w:right w:val="single" w:sz="4" w:space="0" w:color="auto"/>
            </w:tcBorders>
            <w:shd w:val="clear" w:color="auto" w:fill="auto"/>
            <w:noWrap/>
            <w:vAlign w:val="bottom"/>
          </w:tcPr>
          <w:p w14:paraId="0763B21F" w14:textId="77777777" w:rsidR="009B7D21" w:rsidRDefault="009B7D21">
            <w:pPr>
              <w:jc w:val="right"/>
              <w:rPr>
                <w:rFonts w:ascii="Arial" w:hAnsi="Arial" w:cs="Arial"/>
                <w:sz w:val="20"/>
                <w:szCs w:val="20"/>
              </w:rPr>
            </w:pPr>
            <w:r>
              <w:rPr>
                <w:rFonts w:ascii="Arial" w:hAnsi="Arial" w:cs="Arial"/>
                <w:sz w:val="20"/>
                <w:szCs w:val="20"/>
              </w:rPr>
              <w:t>-3,400</w:t>
            </w:r>
          </w:p>
        </w:tc>
        <w:tc>
          <w:tcPr>
            <w:tcW w:w="960" w:type="dxa"/>
            <w:tcBorders>
              <w:top w:val="nil"/>
              <w:left w:val="nil"/>
              <w:bottom w:val="single" w:sz="8" w:space="0" w:color="auto"/>
              <w:right w:val="single" w:sz="4" w:space="0" w:color="auto"/>
            </w:tcBorders>
            <w:shd w:val="clear" w:color="auto" w:fill="auto"/>
            <w:noWrap/>
            <w:vAlign w:val="bottom"/>
          </w:tcPr>
          <w:p w14:paraId="16B50A9C" w14:textId="77777777" w:rsidR="009B7D21" w:rsidRDefault="009B7D21">
            <w:pPr>
              <w:jc w:val="right"/>
              <w:rPr>
                <w:rFonts w:ascii="Arial" w:hAnsi="Arial" w:cs="Arial"/>
                <w:sz w:val="20"/>
                <w:szCs w:val="20"/>
              </w:rPr>
            </w:pPr>
            <w:r>
              <w:rPr>
                <w:rFonts w:ascii="Arial" w:hAnsi="Arial" w:cs="Arial"/>
                <w:sz w:val="20"/>
                <w:szCs w:val="20"/>
              </w:rPr>
              <w:t>3,022</w:t>
            </w:r>
          </w:p>
        </w:tc>
        <w:tc>
          <w:tcPr>
            <w:tcW w:w="1280" w:type="dxa"/>
            <w:tcBorders>
              <w:top w:val="nil"/>
              <w:left w:val="nil"/>
              <w:bottom w:val="single" w:sz="8" w:space="0" w:color="auto"/>
              <w:right w:val="single" w:sz="4" w:space="0" w:color="auto"/>
            </w:tcBorders>
            <w:shd w:val="clear" w:color="auto" w:fill="auto"/>
            <w:noWrap/>
            <w:vAlign w:val="bottom"/>
          </w:tcPr>
          <w:p w14:paraId="3A64B0C1" w14:textId="77777777" w:rsidR="009B7D21" w:rsidRDefault="009B7D21">
            <w:pPr>
              <w:jc w:val="right"/>
              <w:rPr>
                <w:rFonts w:ascii="Arial" w:hAnsi="Arial" w:cs="Arial"/>
                <w:sz w:val="20"/>
                <w:szCs w:val="20"/>
              </w:rPr>
            </w:pPr>
            <w:r>
              <w:rPr>
                <w:rFonts w:ascii="Arial" w:hAnsi="Arial" w:cs="Arial"/>
                <w:sz w:val="20"/>
                <w:szCs w:val="20"/>
              </w:rPr>
              <w:t>4,842E-19</w:t>
            </w:r>
          </w:p>
        </w:tc>
        <w:tc>
          <w:tcPr>
            <w:tcW w:w="1280" w:type="dxa"/>
            <w:tcBorders>
              <w:top w:val="nil"/>
              <w:left w:val="nil"/>
              <w:bottom w:val="single" w:sz="8" w:space="0" w:color="auto"/>
              <w:right w:val="single" w:sz="4" w:space="0" w:color="auto"/>
            </w:tcBorders>
            <w:shd w:val="clear" w:color="auto" w:fill="auto"/>
            <w:noWrap/>
            <w:vAlign w:val="bottom"/>
          </w:tcPr>
          <w:p w14:paraId="43DDAACA" w14:textId="77777777" w:rsidR="009B7D21" w:rsidRDefault="009B7D21">
            <w:pPr>
              <w:jc w:val="right"/>
              <w:rPr>
                <w:rFonts w:ascii="Arial" w:hAnsi="Arial" w:cs="Arial"/>
                <w:sz w:val="20"/>
                <w:szCs w:val="20"/>
              </w:rPr>
            </w:pPr>
            <w:r>
              <w:rPr>
                <w:rFonts w:ascii="Arial" w:hAnsi="Arial" w:cs="Arial"/>
                <w:sz w:val="20"/>
                <w:szCs w:val="20"/>
              </w:rPr>
              <w:t>4,103E-07</w:t>
            </w:r>
          </w:p>
        </w:tc>
        <w:tc>
          <w:tcPr>
            <w:tcW w:w="1060" w:type="dxa"/>
            <w:tcBorders>
              <w:top w:val="nil"/>
              <w:left w:val="nil"/>
              <w:bottom w:val="single" w:sz="8" w:space="0" w:color="auto"/>
              <w:right w:val="single" w:sz="4" w:space="0" w:color="auto"/>
            </w:tcBorders>
            <w:shd w:val="clear" w:color="auto" w:fill="auto"/>
            <w:noWrap/>
            <w:vAlign w:val="bottom"/>
          </w:tcPr>
          <w:p w14:paraId="29EDD695" w14:textId="77777777" w:rsidR="009B7D21" w:rsidRDefault="009B7D21" w:rsidP="006D60A6">
            <w:pPr>
              <w:ind w:firstLineChars="100" w:firstLine="201"/>
              <w:jc w:val="right"/>
              <w:rPr>
                <w:rFonts w:ascii="Arial" w:hAnsi="Arial" w:cs="Arial"/>
                <w:b/>
                <w:bCs/>
                <w:sz w:val="20"/>
                <w:szCs w:val="20"/>
              </w:rPr>
            </w:pPr>
            <w:r>
              <w:rPr>
                <w:rFonts w:ascii="Arial" w:hAnsi="Arial" w:cs="Arial"/>
                <w:b/>
                <w:bCs/>
                <w:sz w:val="20"/>
                <w:szCs w:val="20"/>
              </w:rPr>
              <w:t>410</w:t>
            </w:r>
          </w:p>
        </w:tc>
        <w:tc>
          <w:tcPr>
            <w:tcW w:w="960" w:type="dxa"/>
            <w:tcBorders>
              <w:top w:val="nil"/>
              <w:left w:val="nil"/>
              <w:bottom w:val="single" w:sz="8" w:space="0" w:color="auto"/>
              <w:right w:val="single" w:sz="8" w:space="0" w:color="auto"/>
            </w:tcBorders>
            <w:shd w:val="clear" w:color="auto" w:fill="auto"/>
            <w:noWrap/>
            <w:vAlign w:val="bottom"/>
          </w:tcPr>
          <w:p w14:paraId="244DEBBF" w14:textId="77777777" w:rsidR="009B7D21" w:rsidRDefault="009B7D21">
            <w:pPr>
              <w:rPr>
                <w:rFonts w:ascii="Arial" w:hAnsi="Arial" w:cs="Arial"/>
                <w:b/>
                <w:bCs/>
                <w:color w:val="800080"/>
                <w:sz w:val="20"/>
                <w:szCs w:val="20"/>
              </w:rPr>
            </w:pPr>
            <w:r>
              <w:rPr>
                <w:rFonts w:ascii="Arial" w:hAnsi="Arial" w:cs="Arial"/>
                <w:b/>
                <w:bCs/>
                <w:color w:val="800080"/>
                <w:sz w:val="20"/>
                <w:szCs w:val="20"/>
              </w:rPr>
              <w:t>fialová</w:t>
            </w:r>
          </w:p>
        </w:tc>
      </w:tr>
      <w:tr w:rsidR="009B7D21" w14:paraId="3A7D8F52" w14:textId="77777777" w:rsidTr="009B7D21">
        <w:trPr>
          <w:trHeight w:val="255"/>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96DACEB" w14:textId="77777777" w:rsidR="009B7D21" w:rsidRDefault="009B7D21">
            <w:pPr>
              <w:jc w:val="center"/>
              <w:rPr>
                <w:rFonts w:ascii="Arial" w:hAnsi="Arial" w:cs="Arial"/>
                <w:sz w:val="20"/>
                <w:szCs w:val="20"/>
              </w:rPr>
            </w:pPr>
            <w:r>
              <w:rPr>
                <w:rFonts w:ascii="Arial" w:hAnsi="Arial" w:cs="Arial"/>
                <w:sz w:val="20"/>
                <w:szCs w:val="20"/>
              </w:rPr>
              <w:t>4</w:t>
            </w:r>
          </w:p>
        </w:tc>
        <w:tc>
          <w:tcPr>
            <w:tcW w:w="500" w:type="dxa"/>
            <w:tcBorders>
              <w:top w:val="nil"/>
              <w:left w:val="nil"/>
              <w:bottom w:val="single" w:sz="4" w:space="0" w:color="auto"/>
              <w:right w:val="single" w:sz="4" w:space="0" w:color="auto"/>
            </w:tcBorders>
            <w:shd w:val="clear" w:color="auto" w:fill="auto"/>
            <w:noWrap/>
            <w:vAlign w:val="bottom"/>
          </w:tcPr>
          <w:p w14:paraId="7F8FA6D5" w14:textId="77777777" w:rsidR="009B7D21" w:rsidRDefault="009B7D21">
            <w:pPr>
              <w:jc w:val="center"/>
              <w:rPr>
                <w:rFonts w:ascii="Arial" w:hAnsi="Arial" w:cs="Arial"/>
                <w:sz w:val="20"/>
                <w:szCs w:val="20"/>
              </w:rPr>
            </w:pPr>
            <w:r>
              <w:rPr>
                <w:rFonts w:ascii="Arial" w:hAnsi="Arial" w:cs="Arial"/>
                <w:sz w:val="20"/>
                <w:szCs w:val="20"/>
              </w:rPr>
              <w:t>3</w:t>
            </w:r>
          </w:p>
        </w:tc>
        <w:tc>
          <w:tcPr>
            <w:tcW w:w="960" w:type="dxa"/>
            <w:tcBorders>
              <w:top w:val="nil"/>
              <w:left w:val="nil"/>
              <w:bottom w:val="single" w:sz="4" w:space="0" w:color="auto"/>
              <w:right w:val="single" w:sz="4" w:space="0" w:color="auto"/>
            </w:tcBorders>
            <w:shd w:val="clear" w:color="auto" w:fill="auto"/>
            <w:noWrap/>
            <w:vAlign w:val="bottom"/>
          </w:tcPr>
          <w:p w14:paraId="45003622" w14:textId="77777777" w:rsidR="009B7D21" w:rsidRDefault="009B7D21">
            <w:pPr>
              <w:jc w:val="right"/>
              <w:rPr>
                <w:rFonts w:ascii="Arial" w:hAnsi="Arial" w:cs="Arial"/>
                <w:sz w:val="20"/>
                <w:szCs w:val="20"/>
              </w:rPr>
            </w:pPr>
            <w:r>
              <w:rPr>
                <w:rFonts w:ascii="Arial" w:hAnsi="Arial" w:cs="Arial"/>
                <w:sz w:val="20"/>
                <w:szCs w:val="20"/>
              </w:rPr>
              <w:t>-0,850</w:t>
            </w:r>
          </w:p>
        </w:tc>
        <w:tc>
          <w:tcPr>
            <w:tcW w:w="960" w:type="dxa"/>
            <w:tcBorders>
              <w:top w:val="nil"/>
              <w:left w:val="nil"/>
              <w:bottom w:val="single" w:sz="4" w:space="0" w:color="auto"/>
              <w:right w:val="single" w:sz="4" w:space="0" w:color="auto"/>
            </w:tcBorders>
            <w:shd w:val="clear" w:color="auto" w:fill="auto"/>
            <w:noWrap/>
            <w:vAlign w:val="bottom"/>
          </w:tcPr>
          <w:p w14:paraId="3429A0D3" w14:textId="77777777" w:rsidR="009B7D21" w:rsidRDefault="009B7D21">
            <w:pPr>
              <w:jc w:val="right"/>
              <w:rPr>
                <w:rFonts w:ascii="Arial" w:hAnsi="Arial" w:cs="Arial"/>
                <w:sz w:val="20"/>
                <w:szCs w:val="20"/>
              </w:rPr>
            </w:pPr>
            <w:r>
              <w:rPr>
                <w:rFonts w:ascii="Arial" w:hAnsi="Arial" w:cs="Arial"/>
                <w:sz w:val="20"/>
                <w:szCs w:val="20"/>
              </w:rPr>
              <w:t>-1,511</w:t>
            </w:r>
          </w:p>
        </w:tc>
        <w:tc>
          <w:tcPr>
            <w:tcW w:w="960" w:type="dxa"/>
            <w:tcBorders>
              <w:top w:val="nil"/>
              <w:left w:val="nil"/>
              <w:bottom w:val="single" w:sz="4" w:space="0" w:color="auto"/>
              <w:right w:val="single" w:sz="4" w:space="0" w:color="auto"/>
            </w:tcBorders>
            <w:shd w:val="clear" w:color="auto" w:fill="auto"/>
            <w:noWrap/>
            <w:vAlign w:val="bottom"/>
          </w:tcPr>
          <w:p w14:paraId="3C0B9CC3" w14:textId="77777777" w:rsidR="009B7D21" w:rsidRDefault="009B7D21">
            <w:pPr>
              <w:jc w:val="right"/>
              <w:rPr>
                <w:rFonts w:ascii="Arial" w:hAnsi="Arial" w:cs="Arial"/>
                <w:sz w:val="20"/>
                <w:szCs w:val="20"/>
              </w:rPr>
            </w:pPr>
            <w:r>
              <w:rPr>
                <w:rFonts w:ascii="Arial" w:hAnsi="Arial" w:cs="Arial"/>
                <w:sz w:val="20"/>
                <w:szCs w:val="20"/>
              </w:rPr>
              <w:t>0,661</w:t>
            </w:r>
          </w:p>
        </w:tc>
        <w:tc>
          <w:tcPr>
            <w:tcW w:w="1280" w:type="dxa"/>
            <w:tcBorders>
              <w:top w:val="nil"/>
              <w:left w:val="nil"/>
              <w:bottom w:val="single" w:sz="4" w:space="0" w:color="auto"/>
              <w:right w:val="single" w:sz="4" w:space="0" w:color="auto"/>
            </w:tcBorders>
            <w:shd w:val="clear" w:color="auto" w:fill="auto"/>
            <w:noWrap/>
            <w:vAlign w:val="bottom"/>
          </w:tcPr>
          <w:p w14:paraId="2489C413" w14:textId="77777777" w:rsidR="009B7D21" w:rsidRDefault="009B7D21">
            <w:pPr>
              <w:jc w:val="right"/>
              <w:rPr>
                <w:rFonts w:ascii="Arial" w:hAnsi="Arial" w:cs="Arial"/>
                <w:sz w:val="20"/>
                <w:szCs w:val="20"/>
              </w:rPr>
            </w:pPr>
            <w:r>
              <w:rPr>
                <w:rFonts w:ascii="Arial" w:hAnsi="Arial" w:cs="Arial"/>
                <w:sz w:val="20"/>
                <w:szCs w:val="20"/>
              </w:rPr>
              <w:t>1,059E-19</w:t>
            </w:r>
          </w:p>
        </w:tc>
        <w:tc>
          <w:tcPr>
            <w:tcW w:w="1280" w:type="dxa"/>
            <w:tcBorders>
              <w:top w:val="nil"/>
              <w:left w:val="nil"/>
              <w:bottom w:val="single" w:sz="4" w:space="0" w:color="auto"/>
              <w:right w:val="single" w:sz="4" w:space="0" w:color="auto"/>
            </w:tcBorders>
            <w:shd w:val="clear" w:color="auto" w:fill="auto"/>
            <w:noWrap/>
            <w:vAlign w:val="bottom"/>
          </w:tcPr>
          <w:p w14:paraId="5433E192" w14:textId="77777777" w:rsidR="009B7D21" w:rsidRDefault="009B7D21">
            <w:pPr>
              <w:jc w:val="right"/>
              <w:rPr>
                <w:rFonts w:ascii="Arial" w:hAnsi="Arial" w:cs="Arial"/>
                <w:sz w:val="20"/>
                <w:szCs w:val="20"/>
              </w:rPr>
            </w:pPr>
            <w:r>
              <w:rPr>
                <w:rFonts w:ascii="Arial" w:hAnsi="Arial" w:cs="Arial"/>
                <w:sz w:val="20"/>
                <w:szCs w:val="20"/>
              </w:rPr>
              <w:t>1,876E-06</w:t>
            </w:r>
          </w:p>
        </w:tc>
        <w:tc>
          <w:tcPr>
            <w:tcW w:w="1060" w:type="dxa"/>
            <w:tcBorders>
              <w:top w:val="nil"/>
              <w:left w:val="nil"/>
              <w:bottom w:val="single" w:sz="4" w:space="0" w:color="auto"/>
              <w:right w:val="single" w:sz="4" w:space="0" w:color="auto"/>
            </w:tcBorders>
            <w:shd w:val="clear" w:color="auto" w:fill="auto"/>
            <w:noWrap/>
            <w:vAlign w:val="bottom"/>
          </w:tcPr>
          <w:p w14:paraId="6561819E" w14:textId="77777777" w:rsidR="009B7D21" w:rsidRDefault="009B7D21" w:rsidP="006D60A6">
            <w:pPr>
              <w:ind w:firstLineChars="100" w:firstLine="201"/>
              <w:jc w:val="right"/>
              <w:rPr>
                <w:rFonts w:ascii="Arial" w:hAnsi="Arial" w:cs="Arial"/>
                <w:b/>
                <w:bCs/>
                <w:sz w:val="20"/>
                <w:szCs w:val="20"/>
              </w:rPr>
            </w:pPr>
            <w:r>
              <w:rPr>
                <w:rFonts w:ascii="Arial" w:hAnsi="Arial" w:cs="Arial"/>
                <w:b/>
                <w:bCs/>
                <w:sz w:val="20"/>
                <w:szCs w:val="20"/>
              </w:rPr>
              <w:t>1876</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center"/>
          </w:tcPr>
          <w:p w14:paraId="68B67398" w14:textId="77777777" w:rsidR="009B7D21" w:rsidRDefault="009B7D21">
            <w:pPr>
              <w:jc w:val="center"/>
              <w:rPr>
                <w:rFonts w:ascii="Arial" w:hAnsi="Arial" w:cs="Arial"/>
                <w:b/>
                <w:bCs/>
                <w:sz w:val="20"/>
                <w:szCs w:val="20"/>
              </w:rPr>
            </w:pPr>
            <w:r>
              <w:rPr>
                <w:rFonts w:ascii="Arial" w:hAnsi="Arial" w:cs="Arial"/>
                <w:b/>
                <w:bCs/>
                <w:sz w:val="20"/>
                <w:szCs w:val="20"/>
              </w:rPr>
              <w:t>IR</w:t>
            </w:r>
          </w:p>
        </w:tc>
      </w:tr>
      <w:tr w:rsidR="009B7D21" w14:paraId="6902B227" w14:textId="77777777" w:rsidTr="009B7D21">
        <w:trPr>
          <w:trHeight w:val="255"/>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DF0155A" w14:textId="77777777" w:rsidR="009B7D21" w:rsidRDefault="009B7D21">
            <w:pPr>
              <w:jc w:val="center"/>
              <w:rPr>
                <w:rFonts w:ascii="Arial" w:hAnsi="Arial" w:cs="Arial"/>
                <w:sz w:val="20"/>
                <w:szCs w:val="20"/>
              </w:rPr>
            </w:pPr>
            <w:r>
              <w:rPr>
                <w:rFonts w:ascii="Arial" w:hAnsi="Arial" w:cs="Arial"/>
                <w:sz w:val="20"/>
                <w:szCs w:val="20"/>
              </w:rPr>
              <w:t>5</w:t>
            </w:r>
          </w:p>
        </w:tc>
        <w:tc>
          <w:tcPr>
            <w:tcW w:w="500" w:type="dxa"/>
            <w:tcBorders>
              <w:top w:val="nil"/>
              <w:left w:val="nil"/>
              <w:bottom w:val="single" w:sz="4" w:space="0" w:color="auto"/>
              <w:right w:val="single" w:sz="4" w:space="0" w:color="auto"/>
            </w:tcBorders>
            <w:shd w:val="clear" w:color="auto" w:fill="auto"/>
            <w:noWrap/>
            <w:vAlign w:val="bottom"/>
          </w:tcPr>
          <w:p w14:paraId="7E70125B" w14:textId="77777777" w:rsidR="009B7D21" w:rsidRDefault="009B7D21">
            <w:pPr>
              <w:jc w:val="center"/>
              <w:rPr>
                <w:rFonts w:ascii="Arial" w:hAnsi="Arial" w:cs="Arial"/>
                <w:sz w:val="20"/>
                <w:szCs w:val="20"/>
              </w:rPr>
            </w:pPr>
            <w:r>
              <w:rPr>
                <w:rFonts w:ascii="Arial" w:hAnsi="Arial" w:cs="Arial"/>
                <w:sz w:val="20"/>
                <w:szCs w:val="20"/>
              </w:rPr>
              <w:t>3</w:t>
            </w:r>
          </w:p>
        </w:tc>
        <w:tc>
          <w:tcPr>
            <w:tcW w:w="960" w:type="dxa"/>
            <w:tcBorders>
              <w:top w:val="nil"/>
              <w:left w:val="nil"/>
              <w:bottom w:val="single" w:sz="4" w:space="0" w:color="auto"/>
              <w:right w:val="single" w:sz="4" w:space="0" w:color="auto"/>
            </w:tcBorders>
            <w:shd w:val="clear" w:color="auto" w:fill="auto"/>
            <w:noWrap/>
            <w:vAlign w:val="bottom"/>
          </w:tcPr>
          <w:p w14:paraId="2C7D2638" w14:textId="77777777" w:rsidR="009B7D21" w:rsidRDefault="009B7D21">
            <w:pPr>
              <w:jc w:val="right"/>
              <w:rPr>
                <w:rFonts w:ascii="Arial" w:hAnsi="Arial" w:cs="Arial"/>
                <w:sz w:val="20"/>
                <w:szCs w:val="20"/>
              </w:rPr>
            </w:pPr>
            <w:r>
              <w:rPr>
                <w:rFonts w:ascii="Arial" w:hAnsi="Arial" w:cs="Arial"/>
                <w:sz w:val="20"/>
                <w:szCs w:val="20"/>
              </w:rPr>
              <w:t>-0,544</w:t>
            </w:r>
          </w:p>
        </w:tc>
        <w:tc>
          <w:tcPr>
            <w:tcW w:w="960" w:type="dxa"/>
            <w:tcBorders>
              <w:top w:val="nil"/>
              <w:left w:val="nil"/>
              <w:bottom w:val="single" w:sz="4" w:space="0" w:color="auto"/>
              <w:right w:val="single" w:sz="4" w:space="0" w:color="auto"/>
            </w:tcBorders>
            <w:shd w:val="clear" w:color="auto" w:fill="auto"/>
            <w:noWrap/>
            <w:vAlign w:val="bottom"/>
          </w:tcPr>
          <w:p w14:paraId="5830013E" w14:textId="77777777" w:rsidR="009B7D21" w:rsidRDefault="009B7D21">
            <w:pPr>
              <w:jc w:val="right"/>
              <w:rPr>
                <w:rFonts w:ascii="Arial" w:hAnsi="Arial" w:cs="Arial"/>
                <w:sz w:val="20"/>
                <w:szCs w:val="20"/>
              </w:rPr>
            </w:pPr>
            <w:r>
              <w:rPr>
                <w:rFonts w:ascii="Arial" w:hAnsi="Arial" w:cs="Arial"/>
                <w:sz w:val="20"/>
                <w:szCs w:val="20"/>
              </w:rPr>
              <w:t>-1,511</w:t>
            </w:r>
          </w:p>
        </w:tc>
        <w:tc>
          <w:tcPr>
            <w:tcW w:w="960" w:type="dxa"/>
            <w:tcBorders>
              <w:top w:val="nil"/>
              <w:left w:val="nil"/>
              <w:bottom w:val="single" w:sz="4" w:space="0" w:color="auto"/>
              <w:right w:val="single" w:sz="4" w:space="0" w:color="auto"/>
            </w:tcBorders>
            <w:shd w:val="clear" w:color="auto" w:fill="auto"/>
            <w:noWrap/>
            <w:vAlign w:val="bottom"/>
          </w:tcPr>
          <w:p w14:paraId="44AC8BA1" w14:textId="77777777" w:rsidR="009B7D21" w:rsidRDefault="009B7D21">
            <w:pPr>
              <w:jc w:val="right"/>
              <w:rPr>
                <w:rFonts w:ascii="Arial" w:hAnsi="Arial" w:cs="Arial"/>
                <w:sz w:val="20"/>
                <w:szCs w:val="20"/>
              </w:rPr>
            </w:pPr>
            <w:r>
              <w:rPr>
                <w:rFonts w:ascii="Arial" w:hAnsi="Arial" w:cs="Arial"/>
                <w:sz w:val="20"/>
                <w:szCs w:val="20"/>
              </w:rPr>
              <w:t>0,967</w:t>
            </w:r>
          </w:p>
        </w:tc>
        <w:tc>
          <w:tcPr>
            <w:tcW w:w="1280" w:type="dxa"/>
            <w:tcBorders>
              <w:top w:val="nil"/>
              <w:left w:val="nil"/>
              <w:bottom w:val="single" w:sz="4" w:space="0" w:color="auto"/>
              <w:right w:val="single" w:sz="4" w:space="0" w:color="auto"/>
            </w:tcBorders>
            <w:shd w:val="clear" w:color="auto" w:fill="auto"/>
            <w:noWrap/>
            <w:vAlign w:val="bottom"/>
          </w:tcPr>
          <w:p w14:paraId="2A756CBE" w14:textId="77777777" w:rsidR="009B7D21" w:rsidRDefault="009B7D21">
            <w:pPr>
              <w:jc w:val="right"/>
              <w:rPr>
                <w:rFonts w:ascii="Arial" w:hAnsi="Arial" w:cs="Arial"/>
                <w:sz w:val="20"/>
                <w:szCs w:val="20"/>
              </w:rPr>
            </w:pPr>
            <w:r>
              <w:rPr>
                <w:rFonts w:ascii="Arial" w:hAnsi="Arial" w:cs="Arial"/>
                <w:sz w:val="20"/>
                <w:szCs w:val="20"/>
              </w:rPr>
              <w:t>1,549E-19</w:t>
            </w:r>
          </w:p>
        </w:tc>
        <w:tc>
          <w:tcPr>
            <w:tcW w:w="1280" w:type="dxa"/>
            <w:tcBorders>
              <w:top w:val="nil"/>
              <w:left w:val="nil"/>
              <w:bottom w:val="single" w:sz="4" w:space="0" w:color="auto"/>
              <w:right w:val="single" w:sz="4" w:space="0" w:color="auto"/>
            </w:tcBorders>
            <w:shd w:val="clear" w:color="auto" w:fill="auto"/>
            <w:noWrap/>
            <w:vAlign w:val="bottom"/>
          </w:tcPr>
          <w:p w14:paraId="75D972E9" w14:textId="77777777" w:rsidR="009B7D21" w:rsidRDefault="009B7D21">
            <w:pPr>
              <w:jc w:val="right"/>
              <w:rPr>
                <w:rFonts w:ascii="Arial" w:hAnsi="Arial" w:cs="Arial"/>
                <w:sz w:val="20"/>
                <w:szCs w:val="20"/>
              </w:rPr>
            </w:pPr>
            <w:r>
              <w:rPr>
                <w:rFonts w:ascii="Arial" w:hAnsi="Arial" w:cs="Arial"/>
                <w:sz w:val="20"/>
                <w:szCs w:val="20"/>
              </w:rPr>
              <w:t>1,282E-06</w:t>
            </w:r>
          </w:p>
        </w:tc>
        <w:tc>
          <w:tcPr>
            <w:tcW w:w="1060" w:type="dxa"/>
            <w:tcBorders>
              <w:top w:val="nil"/>
              <w:left w:val="nil"/>
              <w:bottom w:val="single" w:sz="4" w:space="0" w:color="auto"/>
              <w:right w:val="single" w:sz="4" w:space="0" w:color="auto"/>
            </w:tcBorders>
            <w:shd w:val="clear" w:color="auto" w:fill="auto"/>
            <w:noWrap/>
            <w:vAlign w:val="bottom"/>
          </w:tcPr>
          <w:p w14:paraId="321A5632" w14:textId="77777777" w:rsidR="009B7D21" w:rsidRDefault="009B7D21" w:rsidP="006D60A6">
            <w:pPr>
              <w:ind w:firstLineChars="100" w:firstLine="201"/>
              <w:jc w:val="right"/>
              <w:rPr>
                <w:rFonts w:ascii="Arial" w:hAnsi="Arial" w:cs="Arial"/>
                <w:b/>
                <w:bCs/>
                <w:sz w:val="20"/>
                <w:szCs w:val="20"/>
              </w:rPr>
            </w:pPr>
            <w:r>
              <w:rPr>
                <w:rFonts w:ascii="Arial" w:hAnsi="Arial" w:cs="Arial"/>
                <w:b/>
                <w:bCs/>
                <w:sz w:val="20"/>
                <w:szCs w:val="20"/>
              </w:rPr>
              <w:t>1282</w:t>
            </w:r>
          </w:p>
        </w:tc>
        <w:tc>
          <w:tcPr>
            <w:tcW w:w="960" w:type="dxa"/>
            <w:vMerge/>
            <w:tcBorders>
              <w:top w:val="nil"/>
              <w:left w:val="single" w:sz="4" w:space="0" w:color="auto"/>
              <w:bottom w:val="single" w:sz="8" w:space="0" w:color="000000"/>
              <w:right w:val="single" w:sz="8" w:space="0" w:color="auto"/>
            </w:tcBorders>
            <w:vAlign w:val="center"/>
          </w:tcPr>
          <w:p w14:paraId="37699840" w14:textId="77777777" w:rsidR="009B7D21" w:rsidRDefault="009B7D21">
            <w:pPr>
              <w:rPr>
                <w:rFonts w:ascii="Arial" w:hAnsi="Arial" w:cs="Arial"/>
                <w:b/>
                <w:bCs/>
                <w:sz w:val="20"/>
                <w:szCs w:val="20"/>
              </w:rPr>
            </w:pPr>
          </w:p>
        </w:tc>
      </w:tr>
      <w:tr w:rsidR="009B7D21" w14:paraId="16A94ED2" w14:textId="77777777" w:rsidTr="009B7D21">
        <w:trPr>
          <w:trHeight w:val="270"/>
        </w:trPr>
        <w:tc>
          <w:tcPr>
            <w:tcW w:w="500" w:type="dxa"/>
            <w:tcBorders>
              <w:top w:val="nil"/>
              <w:left w:val="single" w:sz="8" w:space="0" w:color="auto"/>
              <w:bottom w:val="single" w:sz="8" w:space="0" w:color="auto"/>
              <w:right w:val="single" w:sz="4" w:space="0" w:color="auto"/>
            </w:tcBorders>
            <w:shd w:val="clear" w:color="auto" w:fill="auto"/>
            <w:noWrap/>
            <w:vAlign w:val="bottom"/>
          </w:tcPr>
          <w:p w14:paraId="27797961" w14:textId="77777777" w:rsidR="009B7D21" w:rsidRDefault="009B7D21">
            <w:pPr>
              <w:jc w:val="center"/>
              <w:rPr>
                <w:rFonts w:ascii="Arial" w:hAnsi="Arial" w:cs="Arial"/>
                <w:sz w:val="20"/>
                <w:szCs w:val="20"/>
              </w:rPr>
            </w:pPr>
            <w:r>
              <w:rPr>
                <w:rFonts w:ascii="Arial" w:hAnsi="Arial" w:cs="Arial"/>
                <w:sz w:val="20"/>
                <w:szCs w:val="20"/>
              </w:rPr>
              <w:t>6</w:t>
            </w:r>
          </w:p>
        </w:tc>
        <w:tc>
          <w:tcPr>
            <w:tcW w:w="500" w:type="dxa"/>
            <w:tcBorders>
              <w:top w:val="nil"/>
              <w:left w:val="nil"/>
              <w:bottom w:val="single" w:sz="8" w:space="0" w:color="auto"/>
              <w:right w:val="single" w:sz="4" w:space="0" w:color="auto"/>
            </w:tcBorders>
            <w:shd w:val="clear" w:color="auto" w:fill="auto"/>
            <w:noWrap/>
            <w:vAlign w:val="bottom"/>
          </w:tcPr>
          <w:p w14:paraId="7A3257B3" w14:textId="77777777" w:rsidR="009B7D21" w:rsidRDefault="009B7D21">
            <w:pPr>
              <w:jc w:val="center"/>
              <w:rPr>
                <w:rFonts w:ascii="Arial" w:hAnsi="Arial" w:cs="Arial"/>
                <w:sz w:val="20"/>
                <w:szCs w:val="20"/>
              </w:rPr>
            </w:pPr>
            <w:r>
              <w:rPr>
                <w:rFonts w:ascii="Arial" w:hAnsi="Arial" w:cs="Arial"/>
                <w:sz w:val="20"/>
                <w:szCs w:val="20"/>
              </w:rPr>
              <w:t>3</w:t>
            </w:r>
          </w:p>
        </w:tc>
        <w:tc>
          <w:tcPr>
            <w:tcW w:w="960" w:type="dxa"/>
            <w:tcBorders>
              <w:top w:val="nil"/>
              <w:left w:val="nil"/>
              <w:bottom w:val="single" w:sz="8" w:space="0" w:color="auto"/>
              <w:right w:val="single" w:sz="4" w:space="0" w:color="auto"/>
            </w:tcBorders>
            <w:shd w:val="clear" w:color="auto" w:fill="auto"/>
            <w:noWrap/>
            <w:vAlign w:val="bottom"/>
          </w:tcPr>
          <w:p w14:paraId="785B6995" w14:textId="77777777" w:rsidR="009B7D21" w:rsidRDefault="009B7D21">
            <w:pPr>
              <w:jc w:val="right"/>
              <w:rPr>
                <w:rFonts w:ascii="Arial" w:hAnsi="Arial" w:cs="Arial"/>
                <w:sz w:val="20"/>
                <w:szCs w:val="20"/>
              </w:rPr>
            </w:pPr>
            <w:r>
              <w:rPr>
                <w:rFonts w:ascii="Arial" w:hAnsi="Arial" w:cs="Arial"/>
                <w:sz w:val="20"/>
                <w:szCs w:val="20"/>
              </w:rPr>
              <w:t>-0,378</w:t>
            </w:r>
          </w:p>
        </w:tc>
        <w:tc>
          <w:tcPr>
            <w:tcW w:w="960" w:type="dxa"/>
            <w:tcBorders>
              <w:top w:val="nil"/>
              <w:left w:val="nil"/>
              <w:bottom w:val="single" w:sz="8" w:space="0" w:color="auto"/>
              <w:right w:val="single" w:sz="4" w:space="0" w:color="auto"/>
            </w:tcBorders>
            <w:shd w:val="clear" w:color="auto" w:fill="auto"/>
            <w:noWrap/>
            <w:vAlign w:val="bottom"/>
          </w:tcPr>
          <w:p w14:paraId="65EE6732" w14:textId="77777777" w:rsidR="009B7D21" w:rsidRDefault="009B7D21">
            <w:pPr>
              <w:jc w:val="right"/>
              <w:rPr>
                <w:rFonts w:ascii="Arial" w:hAnsi="Arial" w:cs="Arial"/>
                <w:sz w:val="20"/>
                <w:szCs w:val="20"/>
              </w:rPr>
            </w:pPr>
            <w:r>
              <w:rPr>
                <w:rFonts w:ascii="Arial" w:hAnsi="Arial" w:cs="Arial"/>
                <w:sz w:val="20"/>
                <w:szCs w:val="20"/>
              </w:rPr>
              <w:t>-1,511</w:t>
            </w:r>
          </w:p>
        </w:tc>
        <w:tc>
          <w:tcPr>
            <w:tcW w:w="960" w:type="dxa"/>
            <w:tcBorders>
              <w:top w:val="nil"/>
              <w:left w:val="nil"/>
              <w:bottom w:val="single" w:sz="8" w:space="0" w:color="auto"/>
              <w:right w:val="single" w:sz="4" w:space="0" w:color="auto"/>
            </w:tcBorders>
            <w:shd w:val="clear" w:color="auto" w:fill="auto"/>
            <w:noWrap/>
            <w:vAlign w:val="bottom"/>
          </w:tcPr>
          <w:p w14:paraId="05F9E2ED" w14:textId="77777777" w:rsidR="009B7D21" w:rsidRDefault="009B7D21">
            <w:pPr>
              <w:jc w:val="right"/>
              <w:rPr>
                <w:rFonts w:ascii="Arial" w:hAnsi="Arial" w:cs="Arial"/>
                <w:sz w:val="20"/>
                <w:szCs w:val="20"/>
              </w:rPr>
            </w:pPr>
            <w:r>
              <w:rPr>
                <w:rFonts w:ascii="Arial" w:hAnsi="Arial" w:cs="Arial"/>
                <w:sz w:val="20"/>
                <w:szCs w:val="20"/>
              </w:rPr>
              <w:t>1,133</w:t>
            </w:r>
          </w:p>
        </w:tc>
        <w:tc>
          <w:tcPr>
            <w:tcW w:w="1280" w:type="dxa"/>
            <w:tcBorders>
              <w:top w:val="nil"/>
              <w:left w:val="nil"/>
              <w:bottom w:val="single" w:sz="8" w:space="0" w:color="auto"/>
              <w:right w:val="single" w:sz="4" w:space="0" w:color="auto"/>
            </w:tcBorders>
            <w:shd w:val="clear" w:color="auto" w:fill="auto"/>
            <w:noWrap/>
            <w:vAlign w:val="bottom"/>
          </w:tcPr>
          <w:p w14:paraId="5E8357F1" w14:textId="77777777" w:rsidR="009B7D21" w:rsidRDefault="009B7D21">
            <w:pPr>
              <w:jc w:val="right"/>
              <w:rPr>
                <w:rFonts w:ascii="Arial" w:hAnsi="Arial" w:cs="Arial"/>
                <w:sz w:val="20"/>
                <w:szCs w:val="20"/>
              </w:rPr>
            </w:pPr>
            <w:r>
              <w:rPr>
                <w:rFonts w:ascii="Arial" w:hAnsi="Arial" w:cs="Arial"/>
                <w:sz w:val="20"/>
                <w:szCs w:val="20"/>
              </w:rPr>
              <w:t>1,816E-19</w:t>
            </w:r>
          </w:p>
        </w:tc>
        <w:tc>
          <w:tcPr>
            <w:tcW w:w="1280" w:type="dxa"/>
            <w:tcBorders>
              <w:top w:val="nil"/>
              <w:left w:val="nil"/>
              <w:bottom w:val="single" w:sz="8" w:space="0" w:color="auto"/>
              <w:right w:val="single" w:sz="4" w:space="0" w:color="auto"/>
            </w:tcBorders>
            <w:shd w:val="clear" w:color="auto" w:fill="auto"/>
            <w:noWrap/>
            <w:vAlign w:val="bottom"/>
          </w:tcPr>
          <w:p w14:paraId="6FD19B14" w14:textId="77777777" w:rsidR="009B7D21" w:rsidRDefault="009B7D21">
            <w:pPr>
              <w:jc w:val="right"/>
              <w:rPr>
                <w:rFonts w:ascii="Arial" w:hAnsi="Arial" w:cs="Arial"/>
                <w:sz w:val="20"/>
                <w:szCs w:val="20"/>
              </w:rPr>
            </w:pPr>
            <w:r>
              <w:rPr>
                <w:rFonts w:ascii="Arial" w:hAnsi="Arial" w:cs="Arial"/>
                <w:sz w:val="20"/>
                <w:szCs w:val="20"/>
              </w:rPr>
              <w:t>1,094E-06</w:t>
            </w:r>
          </w:p>
        </w:tc>
        <w:tc>
          <w:tcPr>
            <w:tcW w:w="1060" w:type="dxa"/>
            <w:tcBorders>
              <w:top w:val="nil"/>
              <w:left w:val="nil"/>
              <w:bottom w:val="single" w:sz="8" w:space="0" w:color="auto"/>
              <w:right w:val="single" w:sz="4" w:space="0" w:color="auto"/>
            </w:tcBorders>
            <w:shd w:val="clear" w:color="auto" w:fill="auto"/>
            <w:noWrap/>
            <w:vAlign w:val="bottom"/>
          </w:tcPr>
          <w:p w14:paraId="573748FF" w14:textId="77777777" w:rsidR="009B7D21" w:rsidRDefault="009B7D21" w:rsidP="006D60A6">
            <w:pPr>
              <w:ind w:firstLineChars="100" w:firstLine="201"/>
              <w:jc w:val="right"/>
              <w:rPr>
                <w:rFonts w:ascii="Arial" w:hAnsi="Arial" w:cs="Arial"/>
                <w:b/>
                <w:bCs/>
                <w:sz w:val="20"/>
                <w:szCs w:val="20"/>
              </w:rPr>
            </w:pPr>
            <w:r>
              <w:rPr>
                <w:rFonts w:ascii="Arial" w:hAnsi="Arial" w:cs="Arial"/>
                <w:b/>
                <w:bCs/>
                <w:sz w:val="20"/>
                <w:szCs w:val="20"/>
              </w:rPr>
              <w:t>1094</w:t>
            </w:r>
          </w:p>
        </w:tc>
        <w:tc>
          <w:tcPr>
            <w:tcW w:w="960" w:type="dxa"/>
            <w:vMerge/>
            <w:tcBorders>
              <w:top w:val="nil"/>
              <w:left w:val="single" w:sz="4" w:space="0" w:color="auto"/>
              <w:bottom w:val="single" w:sz="8" w:space="0" w:color="000000"/>
              <w:right w:val="single" w:sz="8" w:space="0" w:color="auto"/>
            </w:tcBorders>
            <w:vAlign w:val="center"/>
          </w:tcPr>
          <w:p w14:paraId="7EF84CDA" w14:textId="77777777" w:rsidR="009B7D21" w:rsidRDefault="009B7D21">
            <w:pPr>
              <w:rPr>
                <w:rFonts w:ascii="Arial" w:hAnsi="Arial" w:cs="Arial"/>
                <w:b/>
                <w:bCs/>
                <w:sz w:val="20"/>
                <w:szCs w:val="20"/>
              </w:rPr>
            </w:pPr>
          </w:p>
        </w:tc>
      </w:tr>
    </w:tbl>
    <w:p w14:paraId="78417912" w14:textId="77777777" w:rsidR="000C2436" w:rsidRDefault="000C2436" w:rsidP="00110D75"/>
    <w:p w14:paraId="02CE9CE1" w14:textId="77777777" w:rsidR="00960D7A" w:rsidRDefault="00960D7A" w:rsidP="00110D75">
      <w:pPr>
        <w:rPr>
          <w:b/>
        </w:rPr>
      </w:pPr>
      <w:r>
        <w:rPr>
          <w:noProof/>
        </w:rPr>
        <w:drawing>
          <wp:inline distT="0" distB="0" distL="0" distR="0" wp14:anchorId="49E4D31B" wp14:editId="6A8399AF">
            <wp:extent cx="4759325" cy="3335020"/>
            <wp:effectExtent l="0" t="0" r="3175" b="0"/>
            <wp:docPr id="13" name="Obrázek 13" descr="https://cdn.kastatic.org/ka-perseus-images/6eb47f45dd190c0e2b524f986228c8c9de1ba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dn.kastatic.org/ka-perseus-images/6eb47f45dd190c0e2b524f986228c8c9de1ba58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9325" cy="3335020"/>
                    </a:xfrm>
                    <a:prstGeom prst="rect">
                      <a:avLst/>
                    </a:prstGeom>
                    <a:noFill/>
                    <a:ln>
                      <a:noFill/>
                    </a:ln>
                  </pic:spPr>
                </pic:pic>
              </a:graphicData>
            </a:graphic>
          </wp:inline>
        </w:drawing>
      </w:r>
    </w:p>
    <w:p w14:paraId="4B652899" w14:textId="77777777" w:rsidR="00960D7A" w:rsidRDefault="00960D7A" w:rsidP="00110D75">
      <w:pPr>
        <w:rPr>
          <w:b/>
        </w:rPr>
      </w:pPr>
    </w:p>
    <w:p w14:paraId="02D34CA8" w14:textId="77777777" w:rsidR="003A7508" w:rsidRPr="00A54022" w:rsidRDefault="003A7508" w:rsidP="00110D75">
      <w:pPr>
        <w:rPr>
          <w:b/>
        </w:rPr>
      </w:pPr>
      <w:r w:rsidRPr="00A54022">
        <w:rPr>
          <w:b/>
        </w:rPr>
        <w:t xml:space="preserve">Přehled </w:t>
      </w:r>
      <w:r w:rsidR="00D93BC2" w:rsidRPr="00A54022">
        <w:rPr>
          <w:b/>
        </w:rPr>
        <w:t xml:space="preserve">nejdůležitějších </w:t>
      </w:r>
      <w:r w:rsidRPr="00A54022">
        <w:rPr>
          <w:b/>
        </w:rPr>
        <w:t>modelů atomu je uveden v následujícím výčtu</w:t>
      </w:r>
    </w:p>
    <w:p w14:paraId="7F306FB1" w14:textId="77777777" w:rsidR="003A7508" w:rsidRPr="00A54022" w:rsidRDefault="003A7508" w:rsidP="00110D75">
      <w:pPr>
        <w:rPr>
          <w:b/>
        </w:rPr>
      </w:pPr>
    </w:p>
    <w:p w14:paraId="0039CF05" w14:textId="77777777" w:rsidR="003A7508" w:rsidRDefault="00D93BC2" w:rsidP="003A7508">
      <w:pPr>
        <w:numPr>
          <w:ilvl w:val="0"/>
          <w:numId w:val="4"/>
        </w:numPr>
      </w:pPr>
      <w:r w:rsidRPr="00A54022">
        <w:rPr>
          <w:b/>
        </w:rPr>
        <w:t>Thom</w:t>
      </w:r>
      <w:r w:rsidR="003A7508" w:rsidRPr="00A54022">
        <w:rPr>
          <w:b/>
        </w:rPr>
        <w:t>sonův model</w:t>
      </w:r>
      <w:r w:rsidR="003A7508">
        <w:br/>
        <w:t xml:space="preserve">Hmota a kladný náboj jsou rozprostřeny rovnoměrně po celém objemu </w:t>
      </w:r>
      <w:r w:rsidR="00CF3133">
        <w:t>atomu</w:t>
      </w:r>
      <w:r w:rsidR="003A7508">
        <w:t xml:space="preserve">. Uvnitř </w:t>
      </w:r>
      <w:r w:rsidR="00CF3133">
        <w:t>atomu</w:t>
      </w:r>
      <w:r w:rsidR="003A7508">
        <w:t xml:space="preserve"> jsou (podobně jako rozinky v pudinku) lokalizovány téměř bodové nosiče záporného náboje – elektrony.</w:t>
      </w:r>
    </w:p>
    <w:p w14:paraId="44C7A4A5" w14:textId="77777777" w:rsidR="003A7508" w:rsidRDefault="003A7508" w:rsidP="003A7508">
      <w:pPr>
        <w:numPr>
          <w:ilvl w:val="0"/>
          <w:numId w:val="4"/>
        </w:numPr>
      </w:pPr>
      <w:r w:rsidRPr="00A54022">
        <w:rPr>
          <w:b/>
        </w:rPr>
        <w:t>Rutherfordův model</w:t>
      </w:r>
      <w:r>
        <w:br/>
        <w:t>Hmota a kladný náboj jsou soustředěny v jádře a kolem něj obíhají elektrony podobně jako planety kolem Slunce.</w:t>
      </w:r>
    </w:p>
    <w:p w14:paraId="3A041FC4" w14:textId="77777777" w:rsidR="003A7508" w:rsidRDefault="003A7508" w:rsidP="003A7508">
      <w:pPr>
        <w:numPr>
          <w:ilvl w:val="0"/>
          <w:numId w:val="4"/>
        </w:numPr>
      </w:pPr>
      <w:r w:rsidRPr="00A54022">
        <w:rPr>
          <w:b/>
        </w:rPr>
        <w:t>Bohrův model</w:t>
      </w:r>
      <w:r>
        <w:br/>
        <w:t>Hmota a kladný náboj jsou soustředěny v jádře a kolem něj se pohybují elektrony</w:t>
      </w:r>
      <w:r w:rsidRPr="00D27F3E">
        <w:t>. Moment hybnosti a</w:t>
      </w:r>
      <w:r>
        <w:t xml:space="preserve"> energie elektronů jsou kvantovány. Nemohou nabývat libovolné hodnoty, ale jen jedné z několika předem povolených hodnot (E=E</w:t>
      </w:r>
      <w:r>
        <w:rPr>
          <w:vertAlign w:val="subscript"/>
        </w:rPr>
        <w:t>1</w:t>
      </w:r>
      <w:r>
        <w:t>/n</w:t>
      </w:r>
      <w:r>
        <w:rPr>
          <w:vertAlign w:val="superscript"/>
        </w:rPr>
        <w:t>2</w:t>
      </w:r>
      <w:r>
        <w:t>). Při pohybu elektrony nevysílají elektromagnetické záření. Při přechodu z dráhy s vyšší energií na dráhu s nižší energií je vyslán foton s energií rovnou rozdílu energií těchto hladin.</w:t>
      </w:r>
    </w:p>
    <w:p w14:paraId="4B43718D" w14:textId="77777777" w:rsidR="00BD775C" w:rsidRDefault="003A7508" w:rsidP="00BD775C">
      <w:pPr>
        <w:numPr>
          <w:ilvl w:val="0"/>
          <w:numId w:val="4"/>
        </w:numPr>
      </w:pPr>
      <w:r w:rsidRPr="00A54022">
        <w:rPr>
          <w:b/>
        </w:rPr>
        <w:t>Schrödinger</w:t>
      </w:r>
      <w:r w:rsidR="00D93BC2" w:rsidRPr="00A54022">
        <w:rPr>
          <w:b/>
        </w:rPr>
        <w:t>ův</w:t>
      </w:r>
      <w:r w:rsidRPr="00A54022">
        <w:rPr>
          <w:b/>
        </w:rPr>
        <w:t xml:space="preserve"> model</w:t>
      </w:r>
      <w:r>
        <w:t xml:space="preserve"> je popsán níže, protože jeho součástí jsou i relace neurčitosti.</w:t>
      </w:r>
    </w:p>
    <w:p w14:paraId="756815C5" w14:textId="77777777" w:rsidR="00A44322" w:rsidRDefault="00A44322" w:rsidP="00522334">
      <w:pPr>
        <w:pStyle w:val="Nadpis3"/>
      </w:pPr>
      <w:bookmarkStart w:id="8" w:name="_Toc211009939"/>
      <w:r>
        <w:t>Relace neurčitosti</w:t>
      </w:r>
      <w:bookmarkEnd w:id="8"/>
    </w:p>
    <w:p w14:paraId="351827D2" w14:textId="77777777" w:rsidR="00A44322" w:rsidRDefault="00A44322" w:rsidP="00A44322">
      <w:r>
        <w:t>Každé měření je ovlivněno určitou nepřesností</w:t>
      </w:r>
      <w:r w:rsidR="00C60BB7">
        <w:t>,</w:t>
      </w:r>
      <w:r>
        <w:t xml:space="preserve"> resp. chybou. Nejde o chybu, kterou třeba náhodně udělá pozorovatel, ale o systematickou chybu pramenící přímo z použité měřící metody. Například při měření teploty tělesa obvykle přiložíme teploměr, necháme vzájemně vyrovnat teplotu tělesa a teploměru a na teploměru odečteme teplotu. Přiložením teploměru jsme však ovlivnili teplotu měřeného tělesa. Teploměr ho trochu ochladil (pokud byl na začátku studenější) nebo trochu zahřál (pokud byl na začátku teplejší). Neměříme tedy teplotu tělesa, ale soustavy těleso+teploměr. Měření tedy ovlivňuje měřenou skutečnost. Toto ovlivnění nelze </w:t>
      </w:r>
      <w:r>
        <w:lastRenderedPageBreak/>
        <w:t>nějak matematicky „odpočítat“. To bychom museli znát</w:t>
      </w:r>
      <w:r w:rsidR="00C60BB7">
        <w:t>,</w:t>
      </w:r>
      <w:r>
        <w:t xml:space="preserve"> a tedy změřit řadu údajů (například tepelnou kapacitu teploměru). Každé měření je však zatíženo určitou </w:t>
      </w:r>
      <w:r w:rsidR="00075170">
        <w:t>nepřesností…</w:t>
      </w:r>
    </w:p>
    <w:p w14:paraId="7ABC6380" w14:textId="28D219CE" w:rsidR="00A44322" w:rsidRPr="00847778" w:rsidRDefault="00A44322" w:rsidP="00E819DD">
      <w:r>
        <w:t xml:space="preserve">V klasické fyzice jsme se mohli domnívat, že výše zmíněnou nepřesnost lze libovolně zmenšit. Budeme-li potřebovat přesnější měření, použijeme přesnější měřící metody a přístroje (například menší teploměr, který tolik neovlivní měřené těleso). V kvantové fyzice je tomu jinak. Některé veličiny jsou kvantovány, takže můžeme narazit na případ, kdy je mezi měřeným tělesem a měřícím přístrojem předáno jen jedno kvantum (například energie) a měřené těleso je tím ovlivněno, nebo není předáno nic a měřící přístroj tak nic nenaměří. Podrobnější rozbor výše zmíněných skutečností vedl k formulaci takzvaných relací neurčitosti. Některé dvojice veličin nelze měřit současně zcela přesně. Součin nepřesností takových měření je vždy větší než určitá hodnota. Příkladem jsou vztahy: </w:t>
      </w:r>
      <m:oMath>
        <m:r>
          <w:rPr>
            <w:rFonts w:ascii="Cambria Math" w:hAnsi="Cambria Math"/>
          </w:rPr>
          <m:t>Δp⋅Δx≥</m:t>
        </m:r>
        <m:f>
          <m:fPr>
            <m:ctrlPr>
              <w:rPr>
                <w:rFonts w:ascii="Cambria Math" w:hAnsi="Cambria Math"/>
                <w:i/>
              </w:rPr>
            </m:ctrlPr>
          </m:fPr>
          <m:num>
            <m:r>
              <w:rPr>
                <w:rFonts w:ascii="Cambria Math" w:hAnsi="Cambria Math"/>
              </w:rPr>
              <m:t>h</m:t>
            </m:r>
          </m:num>
          <m:den>
            <m:r>
              <w:rPr>
                <w:rFonts w:ascii="Cambria Math" w:hAnsi="Cambria Math"/>
              </w:rPr>
              <m:t>4π</m:t>
            </m:r>
          </m:den>
        </m:f>
      </m:oMath>
      <w:r>
        <w:t xml:space="preserve"> nebo </w:t>
      </w:r>
      <m:oMath>
        <m:r>
          <w:rPr>
            <w:rFonts w:ascii="Cambria Math"/>
          </w:rPr>
          <m:t>ΔE</m:t>
        </m:r>
        <m:r>
          <w:rPr>
            <w:rFonts w:ascii="Cambria Math" w:hAnsi="Cambria Math" w:cs="Cambria Math"/>
          </w:rPr>
          <m:t>⋅</m:t>
        </m:r>
        <m:r>
          <w:rPr>
            <w:rFonts w:ascii="Cambria Math"/>
          </w:rPr>
          <m:t>Δt</m:t>
        </m:r>
        <m:r>
          <w:rPr>
            <w:rFonts w:ascii="Cambria Math"/>
          </w:rPr>
          <m:t>≥</m:t>
        </m:r>
        <m:f>
          <m:fPr>
            <m:ctrlPr>
              <w:rPr>
                <w:rFonts w:ascii="Cambria Math" w:hAnsi="Cambria Math"/>
                <w:i/>
              </w:rPr>
            </m:ctrlPr>
          </m:fPr>
          <m:num>
            <m:r>
              <w:rPr>
                <w:rFonts w:ascii="Cambria Math"/>
              </w:rPr>
              <m:t>h</m:t>
            </m:r>
          </m:num>
          <m:den>
            <m:r>
              <w:rPr>
                <w:rFonts w:ascii="Cambria Math"/>
              </w:rPr>
              <m:t>4π</m:t>
            </m:r>
          </m:den>
        </m:f>
      </m:oMath>
      <w:r>
        <w:t>.</w:t>
      </w:r>
    </w:p>
    <w:p w14:paraId="284218E4" w14:textId="77777777" w:rsidR="00522334" w:rsidRDefault="00522334" w:rsidP="00522334">
      <w:pPr>
        <w:pStyle w:val="Nadpis3"/>
      </w:pPr>
      <w:bookmarkStart w:id="9" w:name="_Toc211009940"/>
      <w:r>
        <w:t>Schrödingerův model</w:t>
      </w:r>
      <w:bookmarkEnd w:id="9"/>
    </w:p>
    <w:p w14:paraId="0AC1B22E" w14:textId="77777777" w:rsidR="00522334" w:rsidRDefault="00110D75" w:rsidP="00110D75">
      <w:r w:rsidRPr="00D93BC2">
        <w:t xml:space="preserve">Energie a hybnost elektronů vázaných u jádra je kvantována, tj. přesná. Přesnou polohu elektronu nelze určit, protože by to odporovalo relacím neurčitosti. Lze určit jen pravděpodobnost výskytu elektronu v určité oblasti. Pro takový popis je důležitá tzv. vlnová funkce </w:t>
      </w:r>
      <w:r w:rsidRPr="00D93BC2">
        <w:rPr>
          <w:i/>
        </w:rPr>
        <w:t>ψ(x,y,z)</w:t>
      </w:r>
      <w:r w:rsidRPr="00D93BC2">
        <w:t>. Druhá mocnina její absolutní hodnoty (jde o komplexní funkci) udává hustotu pravděpodobnosti výskytu elektronu v bodě o souřadnicích [</w:t>
      </w:r>
      <w:r w:rsidRPr="00D93BC2">
        <w:rPr>
          <w:i/>
        </w:rPr>
        <w:t>x,y,z</w:t>
      </w:r>
      <w:r w:rsidRPr="00D93BC2">
        <w:t xml:space="preserve">]. Vlnová funkce </w:t>
      </w:r>
      <w:r w:rsidRPr="00D93BC2">
        <w:rPr>
          <w:i/>
        </w:rPr>
        <w:t>ψ(x,y,z)</w:t>
      </w:r>
      <w:r w:rsidRPr="00D93BC2">
        <w:t xml:space="preserve"> se určí jako řešení Schrödingerovy rovnice (jde o diferenciální rovnici obsahující druhé parciální derivace podle prostorových souřadnic). Nenulová řešení existují jen pro energie odpovídající kvantové podmínce zavedené Bohrem (</w:t>
      </w:r>
      <w:r w:rsidRPr="00D93BC2">
        <w:rPr>
          <w:i/>
        </w:rPr>
        <w:t>E=E</w:t>
      </w:r>
      <w:r w:rsidRPr="00D93BC2">
        <w:rPr>
          <w:i/>
          <w:vertAlign w:val="subscript"/>
        </w:rPr>
        <w:t>1</w:t>
      </w:r>
      <w:r w:rsidRPr="00D93BC2">
        <w:rPr>
          <w:i/>
        </w:rPr>
        <w:t>/n</w:t>
      </w:r>
      <w:r w:rsidRPr="00D93BC2">
        <w:rPr>
          <w:i/>
          <w:vertAlign w:val="superscript"/>
        </w:rPr>
        <w:t>2</w:t>
      </w:r>
      <w:r w:rsidRPr="00D93BC2">
        <w:t>). Oblast prostoru kolem jádra, omezená plochou s konstantní hustotou pravděpodobnosti výskytu, uvnitř níž je hustota pravděpodobnosti výskytu 90%, se nazývá orbital.</w:t>
      </w:r>
    </w:p>
    <w:p w14:paraId="43DD4FE6" w14:textId="77777777" w:rsidR="00033E68" w:rsidRDefault="00544392" w:rsidP="00522334">
      <w:pPr>
        <w:pStyle w:val="Nadpis1"/>
        <w:rPr>
          <w:sz w:val="20"/>
          <w:szCs w:val="20"/>
        </w:rPr>
      </w:pPr>
      <w:bookmarkStart w:id="10" w:name="_Toc211009941"/>
      <w:r>
        <w:rPr>
          <w:noProof/>
          <w:sz w:val="20"/>
          <w:szCs w:val="20"/>
        </w:rPr>
        <w:drawing>
          <wp:inline distT="0" distB="0" distL="0" distR="0" wp14:anchorId="23512E20" wp14:editId="7C634E6C">
            <wp:extent cx="6435725" cy="2620010"/>
            <wp:effectExtent l="0" t="0" r="3175" b="8890"/>
            <wp:docPr id="27" name="il_fi" descr="orb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orbita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5725" cy="2620010"/>
                    </a:xfrm>
                    <a:prstGeom prst="rect">
                      <a:avLst/>
                    </a:prstGeom>
                    <a:noFill/>
                    <a:ln>
                      <a:noFill/>
                    </a:ln>
                  </pic:spPr>
                </pic:pic>
              </a:graphicData>
            </a:graphic>
          </wp:inline>
        </w:drawing>
      </w:r>
    </w:p>
    <w:p w14:paraId="1C4F0572" w14:textId="77777777" w:rsidR="00033E68" w:rsidRDefault="00544392" w:rsidP="00033E68">
      <w:r>
        <w:rPr>
          <w:noProof/>
        </w:rPr>
        <w:drawing>
          <wp:inline distT="0" distB="0" distL="0" distR="0" wp14:anchorId="08C48C69" wp14:editId="774B3F54">
            <wp:extent cx="2930525" cy="1617980"/>
            <wp:effectExtent l="0" t="0" r="3175" b="127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525" cy="1617980"/>
                    </a:xfrm>
                    <a:prstGeom prst="rect">
                      <a:avLst/>
                    </a:prstGeom>
                    <a:noFill/>
                    <a:ln>
                      <a:noFill/>
                    </a:ln>
                  </pic:spPr>
                </pic:pic>
              </a:graphicData>
            </a:graphic>
          </wp:inline>
        </w:drawing>
      </w:r>
      <w:r w:rsidR="0037793E">
        <w:t xml:space="preserve">  </w:t>
      </w:r>
      <w:r>
        <w:rPr>
          <w:noProof/>
        </w:rPr>
        <w:drawing>
          <wp:inline distT="0" distB="0" distL="0" distR="0" wp14:anchorId="1CC979A5" wp14:editId="784C79CB">
            <wp:extent cx="2901315" cy="2051685"/>
            <wp:effectExtent l="0" t="0" r="0" b="571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315" cy="2051685"/>
                    </a:xfrm>
                    <a:prstGeom prst="rect">
                      <a:avLst/>
                    </a:prstGeom>
                    <a:noFill/>
                    <a:ln>
                      <a:noFill/>
                    </a:ln>
                  </pic:spPr>
                </pic:pic>
              </a:graphicData>
            </a:graphic>
          </wp:inline>
        </w:drawing>
      </w:r>
    </w:p>
    <w:p w14:paraId="1E90A68E" w14:textId="77777777" w:rsidR="0037793E" w:rsidRDefault="0037793E" w:rsidP="00033E68"/>
    <w:p w14:paraId="2E525BA5" w14:textId="77777777" w:rsidR="00033E68" w:rsidRDefault="00544392" w:rsidP="00033E68">
      <w:pPr>
        <w:rPr>
          <w:rFonts w:ascii="Arial" w:hAnsi="Arial" w:cs="Arial"/>
          <w:sz w:val="20"/>
          <w:szCs w:val="20"/>
        </w:rPr>
      </w:pPr>
      <w:r>
        <w:rPr>
          <w:rFonts w:ascii="Arial" w:hAnsi="Arial" w:cs="Arial"/>
          <w:noProof/>
          <w:sz w:val="20"/>
          <w:szCs w:val="20"/>
        </w:rPr>
        <w:lastRenderedPageBreak/>
        <w:drawing>
          <wp:inline distT="0" distB="0" distL="0" distR="0" wp14:anchorId="28E94C32" wp14:editId="191CDFED">
            <wp:extent cx="2971800" cy="2268220"/>
            <wp:effectExtent l="0" t="0" r="0" b="0"/>
            <wp:docPr id="30" name="il_fi" descr="s-orb_sh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orb_shel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2268220"/>
                    </a:xfrm>
                    <a:prstGeom prst="rect">
                      <a:avLst/>
                    </a:prstGeom>
                    <a:noFill/>
                    <a:ln>
                      <a:noFill/>
                    </a:ln>
                  </pic:spPr>
                </pic:pic>
              </a:graphicData>
            </a:graphic>
          </wp:inline>
        </w:drawing>
      </w:r>
    </w:p>
    <w:p w14:paraId="28929C6A" w14:textId="77777777" w:rsidR="00F51310" w:rsidRDefault="00F51310" w:rsidP="00033E68">
      <w:pPr>
        <w:rPr>
          <w:rFonts w:ascii="Arial" w:hAnsi="Arial" w:cs="Arial"/>
          <w:sz w:val="20"/>
          <w:szCs w:val="20"/>
        </w:rPr>
      </w:pPr>
    </w:p>
    <w:p w14:paraId="1B874F53" w14:textId="77777777" w:rsidR="00967C42" w:rsidRDefault="00967C42" w:rsidP="00033E68">
      <w:pPr>
        <w:rPr>
          <w:rFonts w:ascii="Arial" w:hAnsi="Arial" w:cs="Arial"/>
          <w:sz w:val="20"/>
          <w:szCs w:val="20"/>
        </w:rPr>
      </w:pPr>
      <w:r>
        <w:rPr>
          <w:rFonts w:ascii="Arial" w:hAnsi="Arial" w:cs="Arial"/>
          <w:sz w:val="20"/>
          <w:szCs w:val="20"/>
        </w:rPr>
        <w:br/>
      </w:r>
    </w:p>
    <w:p w14:paraId="30FADB33" w14:textId="77777777" w:rsidR="00F51310" w:rsidRPr="00967C42" w:rsidRDefault="00967C42" w:rsidP="00033E68">
      <w:pPr>
        <w:rPr>
          <w:rFonts w:ascii="Arial" w:hAnsi="Arial" w:cs="Arial"/>
          <w:b/>
          <w:sz w:val="28"/>
          <w:szCs w:val="28"/>
        </w:rPr>
      </w:pPr>
      <w:r>
        <w:rPr>
          <w:rFonts w:ascii="Arial" w:hAnsi="Arial" w:cs="Arial"/>
          <w:sz w:val="20"/>
          <w:szCs w:val="20"/>
        </w:rPr>
        <w:br w:type="page"/>
      </w:r>
      <w:r w:rsidR="00F51310" w:rsidRPr="00967C42">
        <w:rPr>
          <w:rFonts w:ascii="Arial" w:hAnsi="Arial" w:cs="Arial"/>
          <w:b/>
          <w:sz w:val="28"/>
          <w:szCs w:val="28"/>
        </w:rPr>
        <w:lastRenderedPageBreak/>
        <w:t xml:space="preserve">Tvar orbitalů 2p </w:t>
      </w:r>
      <w:r w:rsidR="00B960A4">
        <w:rPr>
          <w:rFonts w:ascii="Arial" w:hAnsi="Arial" w:cs="Arial"/>
          <w:b/>
          <w:sz w:val="28"/>
          <w:szCs w:val="28"/>
        </w:rPr>
        <w:t>(jen úhlová část)</w:t>
      </w:r>
      <w:r w:rsidR="00F51310" w:rsidRPr="00967C42">
        <w:rPr>
          <w:rFonts w:ascii="Arial" w:hAnsi="Arial" w:cs="Arial"/>
          <w:b/>
          <w:color w:val="FFFFFF"/>
          <w:sz w:val="28"/>
          <w:szCs w:val="28"/>
        </w:rPr>
        <w:t>(jen úhlová část)</w:t>
      </w:r>
    </w:p>
    <w:p w14:paraId="22B80846" w14:textId="77777777" w:rsidR="00F51310" w:rsidRDefault="00544392" w:rsidP="00033E68">
      <w:pPr>
        <w:rPr>
          <w:rFonts w:ascii="Arial" w:hAnsi="Arial" w:cs="Arial"/>
          <w:sz w:val="20"/>
          <w:szCs w:val="20"/>
        </w:rPr>
      </w:pPr>
      <w:r>
        <w:rPr>
          <w:rFonts w:ascii="Arial" w:hAnsi="Arial" w:cs="Arial"/>
          <w:noProof/>
          <w:sz w:val="20"/>
          <w:szCs w:val="20"/>
        </w:rPr>
        <w:drawing>
          <wp:inline distT="0" distB="0" distL="0" distR="0" wp14:anchorId="03C73EB3" wp14:editId="0DBD03F7">
            <wp:extent cx="5668010" cy="3370580"/>
            <wp:effectExtent l="0" t="0" r="889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8010" cy="3370580"/>
                    </a:xfrm>
                    <a:prstGeom prst="rect">
                      <a:avLst/>
                    </a:prstGeom>
                    <a:noFill/>
                    <a:ln>
                      <a:noFill/>
                    </a:ln>
                  </pic:spPr>
                </pic:pic>
              </a:graphicData>
            </a:graphic>
          </wp:inline>
        </w:drawing>
      </w:r>
    </w:p>
    <w:p w14:paraId="0922299E" w14:textId="77777777" w:rsidR="00F51310" w:rsidRDefault="00F51310" w:rsidP="00033E68">
      <w:pPr>
        <w:rPr>
          <w:rFonts w:ascii="Arial" w:hAnsi="Arial" w:cs="Arial"/>
          <w:sz w:val="20"/>
          <w:szCs w:val="20"/>
        </w:rPr>
      </w:pPr>
    </w:p>
    <w:p w14:paraId="7EA3511C" w14:textId="77777777" w:rsidR="00F51310" w:rsidRDefault="00F51310" w:rsidP="00033E68">
      <w:pPr>
        <w:rPr>
          <w:rFonts w:ascii="Arial" w:hAnsi="Arial" w:cs="Arial"/>
          <w:sz w:val="20"/>
          <w:szCs w:val="20"/>
        </w:rPr>
      </w:pPr>
    </w:p>
    <w:p w14:paraId="5A6BA0A6" w14:textId="77777777" w:rsidR="00F51310" w:rsidRPr="00967C42" w:rsidRDefault="00F51310" w:rsidP="00033E68">
      <w:pPr>
        <w:rPr>
          <w:rFonts w:ascii="Arial" w:hAnsi="Arial" w:cs="Arial"/>
          <w:b/>
          <w:sz w:val="28"/>
          <w:szCs w:val="28"/>
        </w:rPr>
      </w:pPr>
      <w:r w:rsidRPr="00967C42">
        <w:rPr>
          <w:rFonts w:ascii="Arial" w:hAnsi="Arial" w:cs="Arial"/>
          <w:b/>
          <w:sz w:val="28"/>
          <w:szCs w:val="28"/>
        </w:rPr>
        <w:t>Tvar orbitalů 2p (radiální i úhlová část)</w:t>
      </w:r>
    </w:p>
    <w:p w14:paraId="6DFED559" w14:textId="77777777" w:rsidR="00F51310" w:rsidRDefault="00544392" w:rsidP="00033E68">
      <w:pPr>
        <w:rPr>
          <w:rFonts w:ascii="Arial" w:hAnsi="Arial" w:cs="Arial"/>
          <w:sz w:val="20"/>
          <w:szCs w:val="20"/>
        </w:rPr>
      </w:pPr>
      <w:r>
        <w:rPr>
          <w:rFonts w:ascii="Arial" w:hAnsi="Arial" w:cs="Arial"/>
          <w:noProof/>
          <w:sz w:val="20"/>
          <w:szCs w:val="20"/>
        </w:rPr>
        <w:drawing>
          <wp:inline distT="0" distB="0" distL="0" distR="0" wp14:anchorId="274DD148" wp14:editId="6F62739F">
            <wp:extent cx="6166485" cy="1998980"/>
            <wp:effectExtent l="0" t="0" r="5715" b="1270"/>
            <wp:docPr id="31" name="il_fi" descr="Es-Orbitales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s-Orbitales_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6485" cy="1998980"/>
                    </a:xfrm>
                    <a:prstGeom prst="rect">
                      <a:avLst/>
                    </a:prstGeom>
                    <a:noFill/>
                    <a:ln>
                      <a:noFill/>
                    </a:ln>
                  </pic:spPr>
                </pic:pic>
              </a:graphicData>
            </a:graphic>
          </wp:inline>
        </w:drawing>
      </w:r>
    </w:p>
    <w:p w14:paraId="644B9763" w14:textId="77777777" w:rsidR="00F51310" w:rsidRPr="00033E68" w:rsidRDefault="00F51310" w:rsidP="00033E68"/>
    <w:p w14:paraId="42FBAC12" w14:textId="77777777" w:rsidR="00776DB1" w:rsidRPr="00776DB1" w:rsidRDefault="00B93D04" w:rsidP="00776DB1">
      <w:hyperlink r:id="rId18" w:history="1">
        <w:r w:rsidR="00776DB1" w:rsidRPr="00776DB1">
          <w:rPr>
            <w:rStyle w:val="Hypertextovodkaz"/>
          </w:rPr>
          <w:t>http://artemis.osu.cz/mmfyz/am/am_2_1_1.htm</w:t>
        </w:r>
      </w:hyperlink>
    </w:p>
    <w:p w14:paraId="4C051916" w14:textId="77777777" w:rsidR="00CF3133" w:rsidRDefault="00CF3133" w:rsidP="00CF3133">
      <w:pPr>
        <w:pStyle w:val="Nadpis3"/>
      </w:pPr>
      <w:r>
        <w:t xml:space="preserve">Přehled kvantových čísel </w:t>
      </w:r>
    </w:p>
    <w:p w14:paraId="7AA04611" w14:textId="77777777" w:rsidR="00CF3133" w:rsidRDefault="00CF3133" w:rsidP="00CF3133">
      <w:r>
        <w:t>Každý orbita</w:t>
      </w:r>
      <w:r w:rsidR="005F6DD3">
        <w:t>l</w:t>
      </w:r>
      <w:r>
        <w:t xml:space="preserve"> v atomu je popsán třemi kvantovými čísly. Elektron, který se v tomto orbitalu nachází, je popsán čtyřmi kvantovými čísly. Těmito čísly jsou:</w:t>
      </w:r>
    </w:p>
    <w:p w14:paraId="71ACFBA6" w14:textId="525ED30B" w:rsidR="00CF3133" w:rsidRDefault="00CF3133" w:rsidP="00E819DD">
      <w:pPr>
        <w:numPr>
          <w:ilvl w:val="0"/>
          <w:numId w:val="8"/>
        </w:numPr>
      </w:pPr>
      <w:r>
        <w:t xml:space="preserve">Hlavní kvantové číslo n. Nabývá hodnot 1, 2, 3, 4, … Určuje základní energii elektronu v orbitalu, u atomu vodíku podle vztahu </w:t>
      </w:r>
      <m:oMath>
        <m:sSub>
          <m:sSubPr>
            <m:ctrlPr>
              <w:rPr>
                <w:rFonts w:ascii="Cambria Math" w:hAnsi="Cambria Math"/>
                <w:i/>
              </w:rPr>
            </m:ctrlPr>
          </m:sSubPr>
          <m:e>
            <m:r>
              <w:rPr>
                <w:rFonts w:ascii="Cambria Math"/>
              </w:rPr>
              <m:t>E</m:t>
            </m:r>
          </m:e>
          <m:sub>
            <m:r>
              <w:rPr>
                <w:rFonts w:ascii="Cambria Math"/>
              </w:rPr>
              <m:t>n</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E</m:t>
                </m:r>
              </m:e>
              <m:sub>
                <m:r>
                  <w:rPr>
                    <w:rFonts w:ascii="Cambria Math"/>
                  </w:rPr>
                  <m:t>1</m:t>
                </m:r>
              </m:sub>
            </m:sSub>
          </m:num>
          <m:den>
            <m:sSup>
              <m:sSupPr>
                <m:ctrlPr>
                  <w:rPr>
                    <w:rFonts w:ascii="Cambria Math" w:hAnsi="Cambria Math"/>
                    <w:i/>
                  </w:rPr>
                </m:ctrlPr>
              </m:sSupPr>
              <m:e>
                <m:r>
                  <w:rPr>
                    <w:rFonts w:ascii="Cambria Math"/>
                  </w:rPr>
                  <m:t>n</m:t>
                </m:r>
              </m:e>
              <m:sup>
                <m:r>
                  <w:rPr>
                    <w:rFonts w:ascii="Cambria Math"/>
                  </w:rPr>
                  <m:t>2</m:t>
                </m:r>
              </m:sup>
            </m:sSup>
          </m:den>
        </m:f>
      </m:oMath>
      <w:r>
        <w:t>.</w:t>
      </w:r>
      <w:r w:rsidR="00C0612A">
        <w:t xml:space="preserve"> Hodnoty se někdy označují písmeny 1 = K, 2 = L, 3 = M, 4 = N, 5 = O …</w:t>
      </w:r>
    </w:p>
    <w:p w14:paraId="143F0AB7" w14:textId="66DBEC86" w:rsidR="00CF3133" w:rsidRDefault="00CF3133" w:rsidP="00CF3133">
      <w:pPr>
        <w:numPr>
          <w:ilvl w:val="0"/>
          <w:numId w:val="8"/>
        </w:numPr>
      </w:pPr>
      <w:r>
        <w:t xml:space="preserve">Vedlejší kvantové číslo l. Nabývá hodnot 0, 1, … (n–1). Pro n = 1 je tedy možná jen hodnota l = 0. Pro n = 4 jsou možné čtyři hodnoty 0, 1, 2, 3. Hodnoty se </w:t>
      </w:r>
      <w:r w:rsidR="00C0612A">
        <w:t>většinou</w:t>
      </w:r>
      <w:r>
        <w:t xml:space="preserve"> označují písmeny 0 = s, 1 = p, 2 = d, 3 = f</w:t>
      </w:r>
      <w:r w:rsidR="00C0612A">
        <w:t>,</w:t>
      </w:r>
      <w:r w:rsidR="00C0612A">
        <w:br/>
        <w:t>4 = g, 5 = h</w:t>
      </w:r>
      <w:r>
        <w:t xml:space="preserve">. </w:t>
      </w:r>
      <w:r w:rsidR="005F6DD3">
        <w:t xml:space="preserve">Vedlejší kvantové číslo určuje tvar orbitalu. </w:t>
      </w:r>
      <w:r>
        <w:t xml:space="preserve">  </w:t>
      </w:r>
    </w:p>
    <w:p w14:paraId="518AC840" w14:textId="1199A4E6" w:rsidR="005F6DD3" w:rsidRPr="00C0612A" w:rsidRDefault="005F6DD3" w:rsidP="00C0612A">
      <w:pPr>
        <w:numPr>
          <w:ilvl w:val="0"/>
          <w:numId w:val="8"/>
        </w:numPr>
      </w:pPr>
      <w:r>
        <w:t>Magnetické kvantové číslo m. Nabývá hodnot celých čísel od –</w:t>
      </w:r>
      <m:oMath>
        <m:r>
          <w:rPr>
            <w:rFonts w:ascii="Cambria Math" w:hAnsi="Cambria Math"/>
          </w:rPr>
          <m:t>l</m:t>
        </m:r>
      </m:oMath>
      <w:r>
        <w:t>(el) do +</w:t>
      </w:r>
      <m:oMath>
        <m:r>
          <w:rPr>
            <w:rFonts w:ascii="Cambria Math" w:hAnsi="Cambria Math"/>
          </w:rPr>
          <m:t>l</m:t>
        </m:r>
      </m:oMath>
      <w:r>
        <w:t xml:space="preserve">(el). Pro </w:t>
      </w:r>
      <m:oMath>
        <m:r>
          <w:rPr>
            <w:rFonts w:ascii="Cambria Math" w:hAnsi="Cambria Math"/>
          </w:rPr>
          <m:t>l</m:t>
        </m:r>
      </m:oMath>
      <w:r>
        <w:t xml:space="preserve"> = 2 tedy existuje pět hodnot m</w:t>
      </w:r>
      <w:r w:rsidR="00C0612A">
        <w:t>,</w:t>
      </w:r>
      <w:r>
        <w:t xml:space="preserve"> a to: –2, –1, 0, 1, 2. Magnetické číslo určuje orientaci orbitalu v magnetickém poli.</w:t>
      </w:r>
    </w:p>
    <w:p w14:paraId="54311AD0" w14:textId="7279DF78" w:rsidR="00CF3133" w:rsidRDefault="005F6DD3" w:rsidP="00E819DD">
      <w:pPr>
        <w:numPr>
          <w:ilvl w:val="0"/>
          <w:numId w:val="8"/>
        </w:numPr>
      </w:pPr>
      <w:r>
        <w:t xml:space="preserve">Spinové kvantové číslo s. Nabývá hodnoty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nebo </w:t>
      </w:r>
      <m:oMath>
        <m:r>
          <w:rPr>
            <w:rFonts w:ascii="Cambria Math"/>
          </w:rPr>
          <m:t>-</m:t>
        </m:r>
        <m:f>
          <m:fPr>
            <m:ctrlPr>
              <w:rPr>
                <w:rFonts w:ascii="Cambria Math" w:hAnsi="Cambria Math"/>
                <w:i/>
              </w:rPr>
            </m:ctrlPr>
          </m:fPr>
          <m:num>
            <m:r>
              <w:rPr>
                <w:rFonts w:ascii="Cambria Math"/>
              </w:rPr>
              <m:t>1</m:t>
            </m:r>
          </m:num>
          <m:den>
            <m:r>
              <w:rPr>
                <w:rFonts w:ascii="Cambria Math"/>
              </w:rPr>
              <m:t>2</m:t>
            </m:r>
          </m:den>
        </m:f>
      </m:oMath>
      <w:r>
        <w:t xml:space="preserve">. Toto číslo nepopisuje orbital, ale konkrétní elektron v orbitalu. V jednom orbitalu mohou být současně nejvýše dva elektrony s opačným spinem (s opačným spinovým kvantovým číslem). Tento fakt je znám pod názvem Pauliho vylučovací princip. </w:t>
      </w:r>
    </w:p>
    <w:p w14:paraId="7ADE760D" w14:textId="77777777" w:rsidR="00E91B03" w:rsidRDefault="00E91B03" w:rsidP="00E91B03">
      <w:pPr>
        <w:pStyle w:val="Nadpis1"/>
      </w:pPr>
      <w:bookmarkStart w:id="11" w:name="_Toc211009952"/>
      <w:bookmarkEnd w:id="10"/>
      <w:r>
        <w:lastRenderedPageBreak/>
        <w:t>Jaderná fyzika</w:t>
      </w:r>
      <w:bookmarkEnd w:id="11"/>
    </w:p>
    <w:p w14:paraId="4363BE6B" w14:textId="77777777" w:rsidR="00E91B03" w:rsidRDefault="00E91B03" w:rsidP="00E91B03">
      <w:r>
        <w:t>Jádro atomu se skládá z protonů a neutronů. Protony a neutrony se označují společným názvem nukleony.</w:t>
      </w:r>
      <w:r>
        <w:br/>
        <w:t xml:space="preserve">Počet nukleonů udává nukleové (hmotnostní) číslo </w:t>
      </w:r>
      <w:r w:rsidRPr="00E26352">
        <w:rPr>
          <w:i/>
        </w:rPr>
        <w:t>A</w:t>
      </w:r>
      <w:r>
        <w:t>.</w:t>
      </w:r>
      <w:r>
        <w:br/>
        <w:t xml:space="preserve">Počet protonů udává protonové (atomové) číslo </w:t>
      </w:r>
      <w:r w:rsidRPr="00E26352">
        <w:rPr>
          <w:i/>
        </w:rPr>
        <w:t>Z</w:t>
      </w:r>
      <w:r>
        <w:t>.</w:t>
      </w:r>
    </w:p>
    <w:p w14:paraId="648CE5B6" w14:textId="77777777" w:rsidR="00E91B03" w:rsidRDefault="00E91B03" w:rsidP="00E91B03">
      <w:r>
        <w:t xml:space="preserve">Počet neutronů </w:t>
      </w:r>
      <w:r w:rsidRPr="00E26352">
        <w:rPr>
          <w:i/>
        </w:rPr>
        <w:t>N</w:t>
      </w:r>
      <w:r>
        <w:t xml:space="preserve"> lze dopočítat </w:t>
      </w:r>
      <w:r w:rsidR="009331DB">
        <w:rPr>
          <w:i/>
        </w:rPr>
        <w:t>N = A</w:t>
      </w:r>
      <w:r w:rsidRPr="00E91B03">
        <w:rPr>
          <w:i/>
        </w:rPr>
        <w:t xml:space="preserve"> –</w:t>
      </w:r>
      <w:r w:rsidR="009331DB">
        <w:rPr>
          <w:i/>
        </w:rPr>
        <w:t>Z</w:t>
      </w:r>
      <w:r>
        <w:t>.</w:t>
      </w:r>
    </w:p>
    <w:p w14:paraId="0C5564F7" w14:textId="6F867B9A" w:rsidR="00E91B03" w:rsidRDefault="00E91B03" w:rsidP="00E819DD">
      <w:r>
        <w:t xml:space="preserve">K zápisu jader se používá schéma </w:t>
      </w:r>
      <m:oMath>
        <m:sPre>
          <m:sPrePr>
            <m:ctrlPr>
              <w:rPr>
                <w:rFonts w:ascii="Cambria Math" w:hAnsi="Cambria Math"/>
                <w:i/>
              </w:rPr>
            </m:ctrlPr>
          </m:sPrePr>
          <m:sub>
            <m:r>
              <w:rPr>
                <w:rFonts w:ascii="Cambria Math"/>
              </w:rPr>
              <m:t>Z</m:t>
            </m:r>
          </m:sub>
          <m:sup>
            <m:r>
              <w:rPr>
                <w:rFonts w:ascii="Cambria Math"/>
              </w:rPr>
              <m:t>A</m:t>
            </m:r>
          </m:sup>
          <m:e>
            <m:r>
              <w:rPr>
                <w:rFonts w:ascii="Cambria Math"/>
              </w:rPr>
              <m:t>X</m:t>
            </m:r>
          </m:e>
        </m:sPre>
      </m:oMath>
      <w:r>
        <w:t xml:space="preserve">, kde </w:t>
      </w:r>
      <w:r w:rsidRPr="00E91B03">
        <w:rPr>
          <w:i/>
        </w:rPr>
        <w:t>X</w:t>
      </w:r>
      <w:r>
        <w:t xml:space="preserve"> je chemické označení daného prvku.</w:t>
      </w:r>
    </w:p>
    <w:p w14:paraId="430F1625" w14:textId="58C12311" w:rsidR="00CD0862" w:rsidRPr="00CD0862" w:rsidRDefault="00CD0862" w:rsidP="00E91B03">
      <w:r>
        <w:t>Nukleony drží v jádře pohromadě díky silným jaderným silám, které poprvé popsal japonský fyzik Yukawa. Jsou to intenzivní síly krátkého dosahu (cca 10</w:t>
      </w:r>
      <w:r>
        <w:rPr>
          <w:vertAlign w:val="superscript"/>
        </w:rPr>
        <w:t>-15</w:t>
      </w:r>
      <w:r w:rsidR="005D6A18">
        <w:rPr>
          <w:vertAlign w:val="superscript"/>
        </w:rPr>
        <w:t xml:space="preserve"> </w:t>
      </w:r>
      <w:r>
        <w:t>m), které jsou na těchto malých vzdálenostech mnohem silnější než síly elektrostatické odpuzování protonů.</w:t>
      </w:r>
    </w:p>
    <w:p w14:paraId="34D16F0C" w14:textId="77777777" w:rsidR="00E26352" w:rsidRDefault="00E26352" w:rsidP="00E91B03"/>
    <w:p w14:paraId="619DDE86" w14:textId="1CA156CF" w:rsidR="00E26352" w:rsidRDefault="00E26352" w:rsidP="00E819DD">
      <w:r>
        <w:t xml:space="preserve">Izotopy jsou jádra se stejným protonovým číslem </w:t>
      </w:r>
      <w:r w:rsidRPr="00376E0E">
        <w:rPr>
          <w:i/>
        </w:rPr>
        <w:t>Z</w:t>
      </w:r>
      <w:r>
        <w:t xml:space="preserve"> a různým nukleovým číslem </w:t>
      </w:r>
      <w:r w:rsidRPr="00376E0E">
        <w:rPr>
          <w:i/>
        </w:rPr>
        <w:t>A</w:t>
      </w:r>
      <w:r>
        <w:t>.</w:t>
      </w:r>
      <w:r>
        <w:br/>
        <w:t xml:space="preserve">Například </w:t>
      </w:r>
      <w:r w:rsidRPr="00BE5C22">
        <w:t xml:space="preserve">izotop </w:t>
      </w:r>
      <w:r w:rsidR="00BE5C22" w:rsidRPr="00BE5C22">
        <w:t>p</w:t>
      </w:r>
      <w:r w:rsidRPr="00BE5C22">
        <w:t xml:space="preserve">olonia </w:t>
      </w:r>
      <m:oMath>
        <m:sPre>
          <m:sPrePr>
            <m:ctrlPr>
              <w:rPr>
                <w:rFonts w:ascii="Cambria Math" w:hAnsi="Cambria Math"/>
                <w:i/>
              </w:rPr>
            </m:ctrlPr>
          </m:sPrePr>
          <m:sub>
            <m:r>
              <w:rPr>
                <w:rFonts w:ascii="Cambria Math"/>
              </w:rPr>
              <m:t>84</m:t>
            </m:r>
          </m:sub>
          <m:sup>
            <m:r>
              <w:rPr>
                <w:rFonts w:ascii="Cambria Math"/>
              </w:rPr>
              <m:t>210</m:t>
            </m:r>
          </m:sup>
          <m:e>
            <m:r>
              <w:rPr>
                <w:rFonts w:ascii="Cambria Math"/>
              </w:rPr>
              <m:t>P</m:t>
            </m:r>
          </m:e>
        </m:sPre>
        <m:r>
          <w:rPr>
            <w:rFonts w:ascii="Cambria Math"/>
          </w:rPr>
          <m:t>o</m:t>
        </m:r>
      </m:oMath>
      <w:r>
        <w:t xml:space="preserve"> je stabilní, ale izotop </w:t>
      </w:r>
      <m:oMath>
        <m:sPre>
          <m:sPrePr>
            <m:ctrlPr>
              <w:rPr>
                <w:rFonts w:ascii="Cambria Math" w:hAnsi="Cambria Math"/>
                <w:i/>
              </w:rPr>
            </m:ctrlPr>
          </m:sPrePr>
          <m:sub>
            <m:r>
              <w:rPr>
                <w:rFonts w:ascii="Cambria Math" w:hAnsi="Cambria Math"/>
              </w:rPr>
              <m:t>84</m:t>
            </m:r>
          </m:sub>
          <m:sup>
            <m:r>
              <w:rPr>
                <w:rFonts w:ascii="Cambria Math" w:hAnsi="Cambria Math"/>
              </w:rPr>
              <m:t>211</m:t>
            </m:r>
          </m:sup>
          <m:e>
            <m:r>
              <w:rPr>
                <w:rFonts w:ascii="Cambria Math" w:hAnsi="Cambria Math"/>
              </w:rPr>
              <m:t>P</m:t>
            </m:r>
          </m:e>
        </m:sPre>
        <m:r>
          <w:rPr>
            <w:rFonts w:ascii="Cambria Math" w:hAnsi="Cambria Math"/>
          </w:rPr>
          <m:t>o</m:t>
        </m:r>
      </m:oMath>
      <w:r>
        <w:t xml:space="preserve">je přirozeně radioaktivní, tj. samovolně se přeměňuje v olovo reakcí </w:t>
      </w:r>
      <m:oMath>
        <m:sPre>
          <m:sPrePr>
            <m:ctrlPr>
              <w:rPr>
                <w:rFonts w:ascii="Cambria Math" w:hAnsi="Cambria Math"/>
                <w:i/>
              </w:rPr>
            </m:ctrlPr>
          </m:sPrePr>
          <m:sub>
            <m:r>
              <w:rPr>
                <w:rFonts w:ascii="Cambria Math"/>
              </w:rPr>
              <m:t>84</m:t>
            </m:r>
          </m:sub>
          <m:sup>
            <m:r>
              <w:rPr>
                <w:rFonts w:ascii="Cambria Math"/>
              </w:rPr>
              <m:t>211</m:t>
            </m:r>
          </m:sup>
          <m:e>
            <m:r>
              <w:rPr>
                <w:rFonts w:ascii="Cambria Math"/>
              </w:rPr>
              <m:t>P</m:t>
            </m:r>
          </m:e>
        </m:sPre>
        <m:r>
          <w:rPr>
            <w:rFonts w:ascii="Cambria Math"/>
          </w:rPr>
          <m:t>o</m:t>
        </m:r>
        <m:r>
          <w:rPr>
            <w:rFonts w:ascii="Cambria Math"/>
          </w:rPr>
          <m:t>→</m:t>
        </m:r>
        <m:sPre>
          <m:sPrePr>
            <m:ctrlPr>
              <w:rPr>
                <w:rFonts w:ascii="Cambria Math" w:hAnsi="Cambria Math"/>
                <w:i/>
              </w:rPr>
            </m:ctrlPr>
          </m:sPrePr>
          <m:sub>
            <m:r>
              <w:rPr>
                <w:rFonts w:ascii="Cambria Math"/>
              </w:rPr>
              <m:t>82</m:t>
            </m:r>
          </m:sub>
          <m:sup>
            <m:r>
              <w:rPr>
                <w:rFonts w:ascii="Cambria Math"/>
              </w:rPr>
              <m:t>207</m:t>
            </m:r>
          </m:sup>
          <m:e>
            <m:r>
              <w:rPr>
                <w:rFonts w:ascii="Cambria Math"/>
              </w:rPr>
              <m:t>P</m:t>
            </m:r>
          </m:e>
        </m:sPre>
        <m:r>
          <w:rPr>
            <w:rFonts w:ascii="Cambria Math"/>
          </w:rPr>
          <m:t>b+</m:t>
        </m:r>
        <m:sPre>
          <m:sPrePr>
            <m:ctrlPr>
              <w:rPr>
                <w:rFonts w:ascii="Cambria Math" w:hAnsi="Cambria Math"/>
                <w:i/>
              </w:rPr>
            </m:ctrlPr>
          </m:sPrePr>
          <m:sub>
            <m:r>
              <w:rPr>
                <w:rFonts w:ascii="Cambria Math"/>
              </w:rPr>
              <m:t>2</m:t>
            </m:r>
          </m:sub>
          <m:sup>
            <m:r>
              <w:rPr>
                <w:rFonts w:ascii="Cambria Math"/>
              </w:rPr>
              <m:t>4</m:t>
            </m:r>
          </m:sup>
          <m:e>
            <m:r>
              <w:rPr>
                <w:rFonts w:ascii="Cambria Math"/>
              </w:rPr>
              <m:t>H</m:t>
            </m:r>
          </m:e>
        </m:sPre>
        <m:r>
          <w:rPr>
            <w:rFonts w:ascii="Cambria Math"/>
          </w:rPr>
          <m:t>e</m:t>
        </m:r>
      </m:oMath>
      <w:r>
        <w:t>. Radioaktivita je schopnost jader měnit svoji strukturu.</w:t>
      </w:r>
    </w:p>
    <w:p w14:paraId="006E993E" w14:textId="77777777" w:rsidR="00E26352" w:rsidRDefault="00E26352" w:rsidP="00E91B03"/>
    <w:p w14:paraId="2DF99BD8" w14:textId="7ECB956B" w:rsidR="00E26352" w:rsidRDefault="00E26352" w:rsidP="00E819DD">
      <w:r>
        <w:t>Při jaderných reakcích se zachovává počet nukleonů (211 = 207 + 4) a součet protonových čísel (84 = 82 +2). Jiným příkladem reakce, na které se můžete přesvědčit o zachovávání součtu čísel A a Z je štěpení uranu v důsledku zachycení neutronu</w:t>
      </w:r>
      <w:r w:rsidR="00CD0862">
        <w:t xml:space="preserve">: </w:t>
      </w:r>
      <m:oMath>
        <m:sPre>
          <m:sPrePr>
            <m:ctrlPr>
              <w:rPr>
                <w:rFonts w:ascii="Cambria Math" w:hAnsi="Cambria Math"/>
                <w:i/>
              </w:rPr>
            </m:ctrlPr>
          </m:sPrePr>
          <m:sub>
            <m:r>
              <w:rPr>
                <w:rFonts w:ascii="Cambria Math"/>
              </w:rPr>
              <m:t>0</m:t>
            </m:r>
          </m:sub>
          <m:sup>
            <m:r>
              <w:rPr>
                <w:rFonts w:ascii="Cambria Math"/>
              </w:rPr>
              <m:t>1</m:t>
            </m:r>
          </m:sup>
          <m:e>
            <m:r>
              <w:rPr>
                <w:rFonts w:ascii="Cambria Math"/>
              </w:rPr>
              <m:t>n</m:t>
            </m:r>
          </m:e>
        </m:sPre>
        <m:r>
          <w:rPr>
            <w:rFonts w:ascii="Cambria Math"/>
          </w:rPr>
          <m:t>+</m:t>
        </m:r>
        <m:sPre>
          <m:sPrePr>
            <m:ctrlPr>
              <w:rPr>
                <w:rFonts w:ascii="Cambria Math" w:hAnsi="Cambria Math"/>
                <w:i/>
              </w:rPr>
            </m:ctrlPr>
          </m:sPrePr>
          <m:sub>
            <m:r>
              <w:rPr>
                <w:rFonts w:ascii="Cambria Math"/>
              </w:rPr>
              <m:t>92</m:t>
            </m:r>
          </m:sub>
          <m:sup>
            <m:r>
              <w:rPr>
                <w:rFonts w:ascii="Cambria Math"/>
              </w:rPr>
              <m:t>235</m:t>
            </m:r>
          </m:sup>
          <m:e>
            <m:r>
              <w:rPr>
                <w:rFonts w:ascii="Cambria Math"/>
              </w:rPr>
              <m:t>U</m:t>
            </m:r>
          </m:e>
        </m:sPre>
        <m:r>
          <w:rPr>
            <w:rFonts w:ascii="Cambria Math"/>
          </w:rPr>
          <m:t>→</m:t>
        </m:r>
        <m:sPre>
          <m:sPrePr>
            <m:ctrlPr>
              <w:rPr>
                <w:rFonts w:ascii="Cambria Math" w:hAnsi="Cambria Math"/>
                <w:i/>
              </w:rPr>
            </m:ctrlPr>
          </m:sPrePr>
          <m:sub>
            <m:r>
              <w:rPr>
                <w:rFonts w:ascii="Cambria Math"/>
              </w:rPr>
              <m:t>56</m:t>
            </m:r>
          </m:sub>
          <m:sup>
            <m:r>
              <w:rPr>
                <w:rFonts w:ascii="Cambria Math"/>
              </w:rPr>
              <m:t>144</m:t>
            </m:r>
          </m:sup>
          <m:e>
            <m:r>
              <w:rPr>
                <w:rFonts w:ascii="Cambria Math"/>
              </w:rPr>
              <m:t>B</m:t>
            </m:r>
          </m:e>
        </m:sPre>
        <m:r>
          <w:rPr>
            <w:rFonts w:ascii="Cambria Math"/>
          </w:rPr>
          <m:t>a+</m:t>
        </m:r>
        <m:sPre>
          <m:sPrePr>
            <m:ctrlPr>
              <w:rPr>
                <w:rFonts w:ascii="Cambria Math" w:hAnsi="Cambria Math"/>
                <w:i/>
              </w:rPr>
            </m:ctrlPr>
          </m:sPrePr>
          <m:sub>
            <m:r>
              <w:rPr>
                <w:rFonts w:ascii="Cambria Math"/>
              </w:rPr>
              <m:t>36</m:t>
            </m:r>
          </m:sub>
          <m:sup>
            <m:r>
              <w:rPr>
                <w:rFonts w:ascii="Cambria Math"/>
              </w:rPr>
              <m:t>89</m:t>
            </m:r>
          </m:sup>
          <m:e>
            <m:r>
              <w:rPr>
                <w:rFonts w:ascii="Cambria Math"/>
              </w:rPr>
              <m:t>K</m:t>
            </m:r>
          </m:e>
        </m:sPre>
        <m:r>
          <w:rPr>
            <w:rFonts w:ascii="Cambria Math"/>
          </w:rPr>
          <m:t>r+3</m:t>
        </m:r>
        <m:r>
          <w:rPr>
            <w:rFonts w:ascii="Cambria Math" w:hAnsi="Cambria Math" w:cs="Cambria Math"/>
          </w:rPr>
          <m:t>⋅</m:t>
        </m:r>
        <m:sPre>
          <m:sPrePr>
            <m:ctrlPr>
              <w:rPr>
                <w:rFonts w:ascii="Cambria Math" w:hAnsi="Cambria Math"/>
                <w:i/>
              </w:rPr>
            </m:ctrlPr>
          </m:sPrePr>
          <m:sub>
            <m:r>
              <w:rPr>
                <w:rFonts w:ascii="Cambria Math"/>
              </w:rPr>
              <m:t>0</m:t>
            </m:r>
          </m:sub>
          <m:sup>
            <m:r>
              <w:rPr>
                <w:rFonts w:ascii="Cambria Math"/>
              </w:rPr>
              <m:t>1</m:t>
            </m:r>
          </m:sup>
          <m:e>
            <m:r>
              <w:rPr>
                <w:rFonts w:ascii="Cambria Math"/>
              </w:rPr>
              <m:t>n</m:t>
            </m:r>
          </m:e>
        </m:sPre>
      </m:oMath>
      <w:r w:rsidR="00CD0862">
        <w:t>.</w:t>
      </w:r>
    </w:p>
    <w:p w14:paraId="5BDC6969" w14:textId="77777777" w:rsidR="00CD0862" w:rsidRDefault="00CD0862" w:rsidP="00E91B03"/>
    <w:p w14:paraId="31C4D27A" w14:textId="77777777" w:rsidR="00BF27C8" w:rsidRDefault="00BF27C8" w:rsidP="00BF27C8">
      <w:pPr>
        <w:pStyle w:val="Nadpis3"/>
      </w:pPr>
      <w:bookmarkStart w:id="12" w:name="_Toc211009953"/>
      <w:r>
        <w:t>Hmotnostní úbytek a vazebn</w:t>
      </w:r>
      <w:r w:rsidR="00AC730F">
        <w:t>í</w:t>
      </w:r>
      <w:r>
        <w:t xml:space="preserve"> energie</w:t>
      </w:r>
      <w:bookmarkEnd w:id="12"/>
    </w:p>
    <w:p w14:paraId="66CB4EB6" w14:textId="4EDC8AF5" w:rsidR="00D0665A" w:rsidRDefault="00CD0862" w:rsidP="00E819DD">
      <w:r>
        <w:t xml:space="preserve">Hmotnost jader </w:t>
      </w:r>
      <w:r w:rsidRPr="00CD0862">
        <w:rPr>
          <w:i/>
        </w:rPr>
        <w:t>m</w:t>
      </w:r>
      <w:r w:rsidRPr="00CD0862">
        <w:rPr>
          <w:i/>
          <w:vertAlign w:val="subscript"/>
        </w:rPr>
        <w:t>j</w:t>
      </w:r>
      <w:r>
        <w:t xml:space="preserve"> složených z více nukleonů je vždy menší než součet hmotností protonů </w:t>
      </w:r>
      <w:r w:rsidRPr="00CD0862">
        <w:rPr>
          <w:i/>
        </w:rPr>
        <w:t>m</w:t>
      </w:r>
      <w:r w:rsidRPr="00CD0862">
        <w:rPr>
          <w:i/>
          <w:vertAlign w:val="subscript"/>
        </w:rPr>
        <w:t>p</w:t>
      </w:r>
      <w:r>
        <w:t xml:space="preserve"> a neutronů </w:t>
      </w:r>
      <w:r w:rsidRPr="00CD0862">
        <w:rPr>
          <w:i/>
        </w:rPr>
        <w:t>m</w:t>
      </w:r>
      <w:r w:rsidRPr="00CD0862">
        <w:rPr>
          <w:i/>
          <w:vertAlign w:val="subscript"/>
        </w:rPr>
        <w:t>n</w:t>
      </w:r>
      <w:r>
        <w:t xml:space="preserve">, které jádro tvoří </w:t>
      </w:r>
      <m:oMath>
        <m:sSub>
          <m:sSubPr>
            <m:ctrlPr>
              <w:rPr>
                <w:rFonts w:ascii="Cambria Math" w:hAnsi="Cambria Math"/>
                <w:i/>
              </w:rPr>
            </m:ctrlPr>
          </m:sSubPr>
          <m:e>
            <m:r>
              <w:rPr>
                <w:rFonts w:ascii="Cambria Math"/>
              </w:rPr>
              <m:t>m</m:t>
            </m:r>
          </m:e>
          <m:sub>
            <m:r>
              <w:rPr>
                <w:rFonts w:ascii="Cambria Math"/>
              </w:rPr>
              <m:t>j</m:t>
            </m:r>
          </m:sub>
        </m:sSub>
        <m:r>
          <w:rPr>
            <w:rFonts w:ascii="Cambria Math"/>
          </w:rPr>
          <m:t>&lt;Z</m:t>
        </m:r>
        <m:r>
          <w:rPr>
            <w:rFonts w:ascii="Cambria Math" w:hAnsi="Cambria Math" w:cs="Cambria Math"/>
          </w:rPr>
          <m:t>⋅</m:t>
        </m:r>
        <m:sSub>
          <m:sSubPr>
            <m:ctrlPr>
              <w:rPr>
                <w:rFonts w:ascii="Cambria Math" w:hAnsi="Cambria Math"/>
                <w:i/>
              </w:rPr>
            </m:ctrlPr>
          </m:sSubPr>
          <m:e>
            <m:r>
              <w:rPr>
                <w:rFonts w:ascii="Cambria Math"/>
              </w:rPr>
              <m:t>m</m:t>
            </m:r>
          </m:e>
          <m:sub>
            <m:r>
              <w:rPr>
                <w:rFonts w:ascii="Cambria Math"/>
              </w:rPr>
              <m:t>p</m:t>
            </m:r>
          </m:sub>
        </m:sSub>
        <m:r>
          <w:rPr>
            <w:rFonts w:ascii="Cambria Math"/>
          </w:rPr>
          <m:t>+N</m:t>
        </m:r>
        <m:r>
          <w:rPr>
            <w:rFonts w:ascii="Cambria Math" w:hAnsi="Cambria Math" w:cs="Cambria Math"/>
          </w:rPr>
          <m:t>⋅</m:t>
        </m:r>
        <m:sSub>
          <m:sSubPr>
            <m:ctrlPr>
              <w:rPr>
                <w:rFonts w:ascii="Cambria Math" w:hAnsi="Cambria Math"/>
                <w:i/>
              </w:rPr>
            </m:ctrlPr>
          </m:sSubPr>
          <m:e>
            <m:r>
              <w:rPr>
                <w:rFonts w:ascii="Cambria Math"/>
              </w:rPr>
              <m:t>m</m:t>
            </m:r>
          </m:e>
          <m:sub>
            <m:r>
              <w:rPr>
                <w:rFonts w:ascii="Cambria Math"/>
              </w:rPr>
              <m:t>n</m:t>
            </m:r>
          </m:sub>
        </m:sSub>
      </m:oMath>
      <w:r>
        <w:t xml:space="preserve">. Rozdíl </w:t>
      </w:r>
      <m:oMath>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n</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j</m:t>
            </m:r>
          </m:sub>
        </m:sSub>
      </m:oMath>
      <w:r>
        <w:t>se nazývá hmotnostní úbytek (někdy též schodek nebo defekt)</w:t>
      </w:r>
      <w:r w:rsidR="00D0665A">
        <w:t xml:space="preserve">. Značí se písmenem </w:t>
      </w:r>
      <m:oMath>
        <m:r>
          <w:rPr>
            <w:rFonts w:ascii="Cambria Math" w:hAnsi="Cambria Math"/>
          </w:rPr>
          <m:t>B=</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n</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j</m:t>
            </m:r>
          </m:sub>
        </m:sSub>
      </m:oMath>
      <w:r w:rsidR="00D0665A">
        <w:t xml:space="preserve"> </w:t>
      </w:r>
      <w:r w:rsidR="00E819DD">
        <w:t xml:space="preserve">a </w:t>
      </w:r>
      <w:r w:rsidR="00D0665A">
        <w:t xml:space="preserve">odpovídá energii vazby mezi nukleony podle relativistického vztahu </w:t>
      </w:r>
      <m:oMath>
        <m:r>
          <w:rPr>
            <w:rFonts w:ascii="Cambria Math"/>
          </w:rPr>
          <m:t>E=m</m:t>
        </m:r>
        <m:sSup>
          <m:sSupPr>
            <m:ctrlPr>
              <w:rPr>
                <w:rFonts w:ascii="Cambria Math" w:hAnsi="Cambria Math"/>
                <w:i/>
              </w:rPr>
            </m:ctrlPr>
          </m:sSupPr>
          <m:e>
            <m:r>
              <w:rPr>
                <w:rFonts w:ascii="Cambria Math"/>
              </w:rPr>
              <m:t>c</m:t>
            </m:r>
          </m:e>
          <m:sup>
            <m:r>
              <w:rPr>
                <w:rFonts w:ascii="Cambria Math"/>
              </w:rPr>
              <m:t>2</m:t>
            </m:r>
          </m:sup>
        </m:sSup>
      </m:oMath>
      <w:r w:rsidR="00D0665A">
        <w:t xml:space="preserve">, zde tedy </w:t>
      </w:r>
      <m:oMath>
        <m:r>
          <w:rPr>
            <w:rFonts w:ascii="Cambria Math"/>
          </w:rPr>
          <m:t>E=B</m:t>
        </m:r>
        <m:sSup>
          <m:sSupPr>
            <m:ctrlPr>
              <w:rPr>
                <w:rFonts w:ascii="Cambria Math" w:hAnsi="Cambria Math"/>
                <w:i/>
              </w:rPr>
            </m:ctrlPr>
          </m:sSupPr>
          <m:e>
            <m:r>
              <w:rPr>
                <w:rFonts w:ascii="Cambria Math"/>
              </w:rPr>
              <m:t>c</m:t>
            </m:r>
          </m:e>
          <m:sup>
            <m:r>
              <w:rPr>
                <w:rFonts w:ascii="Cambria Math"/>
              </w:rPr>
              <m:t>2</m:t>
            </m:r>
          </m:sup>
        </m:sSup>
      </m:oMath>
      <w:r w:rsidR="00D0665A">
        <w:t xml:space="preserve">. To je energie, které by se uvolnila, pokud by jádro z jednotlivých nukleonů vzniklo, a je to též energie, kterou bychom museli jádru dodat, pokud bychom ho chtěli na jednotlivé nukleony rozbít. </w:t>
      </w:r>
    </w:p>
    <w:p w14:paraId="20978565" w14:textId="6BDBEDD0" w:rsidR="0044585F" w:rsidRDefault="00D0665A" w:rsidP="00E819DD">
      <w:r>
        <w:t xml:space="preserve">U </w:t>
      </w:r>
      <w:r w:rsidRPr="00BE5C22">
        <w:t xml:space="preserve">izotopu </w:t>
      </w:r>
      <w:r w:rsidR="00BE5C22" w:rsidRPr="00BE5C22">
        <w:t>u</w:t>
      </w:r>
      <w:r w:rsidRPr="00BE5C22">
        <w:t xml:space="preserve">ranu </w:t>
      </w:r>
      <m:oMath>
        <m:sPre>
          <m:sPrePr>
            <m:ctrlPr>
              <w:rPr>
                <w:rFonts w:ascii="Cambria Math" w:hAnsi="Cambria Math"/>
                <w:i/>
              </w:rPr>
            </m:ctrlPr>
          </m:sPrePr>
          <m:sub>
            <m:r>
              <w:rPr>
                <w:rFonts w:ascii="Cambria Math" w:hAnsi="Cambria Math"/>
              </w:rPr>
              <m:t>92</m:t>
            </m:r>
          </m:sub>
          <m:sup>
            <m:r>
              <w:rPr>
                <w:rFonts w:ascii="Cambria Math" w:hAnsi="Cambria Math"/>
              </w:rPr>
              <m:t>238</m:t>
            </m:r>
          </m:sup>
          <m:e>
            <m:r>
              <w:rPr>
                <w:rFonts w:ascii="Cambria Math" w:hAnsi="Cambria Math"/>
              </w:rPr>
              <m:t>U</m:t>
            </m:r>
          </m:e>
        </m:sPre>
      </m:oMath>
      <w:r w:rsidRPr="00BE5C22">
        <w:t xml:space="preserve">je </w:t>
      </w:r>
      <w:r w:rsidRPr="00BE5C22">
        <w:rPr>
          <w:i/>
        </w:rPr>
        <w:t xml:space="preserve">B </w:t>
      </w:r>
      <w:r w:rsidRPr="00BE5C22">
        <w:t>= 1,908 m</w:t>
      </w:r>
      <w:r w:rsidRPr="00BE5C22">
        <w:rPr>
          <w:vertAlign w:val="subscript"/>
        </w:rPr>
        <w:t>u</w:t>
      </w:r>
      <w:r w:rsidRPr="00BE5C22">
        <w:t xml:space="preserve"> (atomové hmotnostní jednotky) = 3,1681.10</w:t>
      </w:r>
      <w:r w:rsidRPr="00BE5C22">
        <w:rPr>
          <w:vertAlign w:val="superscript"/>
        </w:rPr>
        <w:t>-27</w:t>
      </w:r>
      <w:r w:rsidR="00E819DD">
        <w:rPr>
          <w:vertAlign w:val="superscript"/>
        </w:rPr>
        <w:t> </w:t>
      </w:r>
      <w:r w:rsidRPr="00BE5C22">
        <w:t xml:space="preserve">kg. Tomu odpovídá energie </w:t>
      </w:r>
      <w:r w:rsidRPr="00BE5C22">
        <w:rPr>
          <w:i/>
        </w:rPr>
        <w:t>E</w:t>
      </w:r>
      <w:r w:rsidRPr="00BE5C22">
        <w:t xml:space="preserve"> = 2,8513.10</w:t>
      </w:r>
      <w:r w:rsidRPr="00BE5C22">
        <w:rPr>
          <w:vertAlign w:val="superscript"/>
        </w:rPr>
        <w:t>-10</w:t>
      </w:r>
      <w:r w:rsidR="00E819DD">
        <w:rPr>
          <w:vertAlign w:val="superscript"/>
        </w:rPr>
        <w:t> </w:t>
      </w:r>
      <w:r w:rsidR="0071043E" w:rsidRPr="00BE5C22">
        <w:t>J. Na</w:t>
      </w:r>
      <w:r w:rsidR="0071043E">
        <w:t xml:space="preserve"> jeden nukleon připadá </w:t>
      </w:r>
      <m:oMath>
        <m:r>
          <w:rPr>
            <w:rFonts w:ascii="Cambria Math"/>
          </w:rPr>
          <m:t>ε=</m:t>
        </m:r>
        <m:f>
          <m:fPr>
            <m:ctrlPr>
              <w:rPr>
                <w:rFonts w:ascii="Cambria Math" w:hAnsi="Cambria Math"/>
                <w:i/>
              </w:rPr>
            </m:ctrlPr>
          </m:fPr>
          <m:num>
            <m:r>
              <w:rPr>
                <w:rFonts w:ascii="Cambria Math"/>
              </w:rPr>
              <m:t>E</m:t>
            </m:r>
          </m:num>
          <m:den>
            <m:r>
              <w:rPr>
                <w:rFonts w:ascii="Cambria Math"/>
              </w:rPr>
              <m:t>A</m:t>
            </m:r>
          </m:den>
        </m:f>
        <m:r>
          <w:rPr>
            <w:rFonts w:ascii="Cambria Math"/>
          </w:rPr>
          <m:t>=1,2.1</m:t>
        </m:r>
        <m:sSup>
          <m:sSupPr>
            <m:ctrlPr>
              <w:rPr>
                <w:rFonts w:ascii="Cambria Math" w:hAnsi="Cambria Math"/>
                <w:i/>
              </w:rPr>
            </m:ctrlPr>
          </m:sSupPr>
          <m:e>
            <m:r>
              <w:rPr>
                <w:rFonts w:ascii="Cambria Math"/>
              </w:rPr>
              <m:t>0</m:t>
            </m:r>
          </m:e>
          <m:sup>
            <m:r>
              <w:rPr>
                <w:rFonts w:ascii="Cambria Math"/>
              </w:rPr>
              <m:t>-</m:t>
            </m:r>
            <m:r>
              <w:rPr>
                <w:rFonts w:ascii="Cambria Math"/>
              </w:rPr>
              <m:t>12</m:t>
            </m:r>
          </m:sup>
        </m:sSup>
        <m:r>
          <m:rPr>
            <m:sty m:val="p"/>
          </m:rPr>
          <w:rPr>
            <w:rFonts w:ascii="Cambria Math"/>
          </w:rPr>
          <m:t>J</m:t>
        </m:r>
        <m:r>
          <w:rPr>
            <w:rFonts w:ascii="Cambria Math"/>
          </w:rPr>
          <m:t xml:space="preserve">=7,5 </m:t>
        </m:r>
        <m:r>
          <m:rPr>
            <m:nor/>
          </m:rPr>
          <w:rPr>
            <w:rFonts w:ascii="Cambria Math"/>
          </w:rPr>
          <m:t>MeV</m:t>
        </m:r>
      </m:oMath>
      <w:r w:rsidR="0071043E">
        <w:t>.</w:t>
      </w:r>
    </w:p>
    <w:p w14:paraId="6FE52F08" w14:textId="66ED01FC" w:rsidR="0071043E" w:rsidRDefault="0071043E" w:rsidP="00E819DD">
      <w:r>
        <w:t>Vazebn</w:t>
      </w:r>
      <w:r w:rsidR="00AC730F">
        <w:t>í</w:t>
      </w:r>
      <w:r>
        <w:t xml:space="preserve"> energie připadající na jeden nukleon u různých izotopů je uvedena v následujícím grafu. Z grafu vyplývá, že nejlépe jsou vázány izotopy v okolí železa </w:t>
      </w:r>
      <m:oMath>
        <m:sPre>
          <m:sPrePr>
            <m:ctrlPr>
              <w:rPr>
                <w:rFonts w:ascii="Cambria Math" w:hAnsi="Cambria Math"/>
                <w:i/>
              </w:rPr>
            </m:ctrlPr>
          </m:sPrePr>
          <m:sub>
            <m:r>
              <w:rPr>
                <w:rFonts w:ascii="Cambria Math"/>
              </w:rPr>
              <m:t>24</m:t>
            </m:r>
          </m:sub>
          <m:sup>
            <m:r>
              <w:rPr>
                <w:rFonts w:ascii="Cambria Math"/>
              </w:rPr>
              <m:t>56</m:t>
            </m:r>
          </m:sup>
          <m:e>
            <m:r>
              <w:rPr>
                <w:rFonts w:ascii="Cambria Math"/>
              </w:rPr>
              <m:t>F</m:t>
            </m:r>
          </m:e>
        </m:sPre>
        <m:r>
          <w:rPr>
            <w:rFonts w:ascii="Cambria Math"/>
          </w:rPr>
          <m:t>e</m:t>
        </m:r>
      </m:oMath>
      <w:r>
        <w:t>, méně jsou vázány nukleony v jádrech těžkých prvků (na konci grafu) a vůbec nejméně některé lehké izotopy (na začátku grafu). Z toho vychází dvě cesty, jakými lze získat energii př</w:t>
      </w:r>
      <w:r w:rsidR="00AC730F">
        <w:t>eměnou určitých izotopů v jiné.</w:t>
      </w:r>
    </w:p>
    <w:p w14:paraId="464A40B7" w14:textId="77777777" w:rsidR="00AC730F" w:rsidRDefault="00544392" w:rsidP="00B23E6F">
      <w:r>
        <w:rPr>
          <w:noProof/>
        </w:rPr>
        <w:lastRenderedPageBreak/>
        <w:drawing>
          <wp:inline distT="0" distB="0" distL="0" distR="0" wp14:anchorId="6B90E5E3" wp14:editId="30D0276F">
            <wp:extent cx="6066790" cy="4554220"/>
            <wp:effectExtent l="0" t="0" r="0" b="0"/>
            <wp:docPr id="5" name="obrázek 5" descr="vazebna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zebna energ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6790" cy="4554220"/>
                    </a:xfrm>
                    <a:prstGeom prst="rect">
                      <a:avLst/>
                    </a:prstGeom>
                    <a:noFill/>
                    <a:ln>
                      <a:noFill/>
                    </a:ln>
                  </pic:spPr>
                </pic:pic>
              </a:graphicData>
            </a:graphic>
          </wp:inline>
        </w:drawing>
      </w:r>
    </w:p>
    <w:p w14:paraId="29A17B3B" w14:textId="77777777" w:rsidR="00BF27C8" w:rsidRDefault="00CC0B26" w:rsidP="00BF27C8">
      <w:pPr>
        <w:pStyle w:val="Nadpis3"/>
      </w:pPr>
      <w:bookmarkStart w:id="13" w:name="_Toc211009954"/>
      <w:r>
        <w:br w:type="page"/>
      </w:r>
      <w:r w:rsidR="00BF27C8">
        <w:lastRenderedPageBreak/>
        <w:t>Štěpná reakce</w:t>
      </w:r>
      <w:bookmarkEnd w:id="13"/>
    </w:p>
    <w:p w14:paraId="33015C9A" w14:textId="666D71D4" w:rsidR="008356BE" w:rsidRDefault="0071043E" w:rsidP="00E819DD">
      <w:r>
        <w:t xml:space="preserve">První cesta je rozdělení </w:t>
      </w:r>
      <w:r w:rsidR="008356BE">
        <w:t xml:space="preserve">(rozštěpení) </w:t>
      </w:r>
      <w:r>
        <w:t xml:space="preserve">jádra těžkého prvku (například uranu) na dvě lépe vázaná jádra (ve středu grafu). Příkladem jsou reakce </w:t>
      </w:r>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m:t>
        </m:r>
        <m:sPre>
          <m:sPrePr>
            <m:ctrlPr>
              <w:rPr>
                <w:rFonts w:ascii="Cambria Math" w:hAnsi="Cambria Math"/>
                <w:i/>
              </w:rPr>
            </m:ctrlPr>
          </m:sPrePr>
          <m:sub>
            <m:r>
              <w:rPr>
                <w:rFonts w:ascii="Cambria Math" w:hAnsi="Cambria Math"/>
              </w:rPr>
              <m:t>92</m:t>
            </m:r>
          </m:sub>
          <m:sup>
            <m:r>
              <w:rPr>
                <w:rFonts w:ascii="Cambria Math" w:hAnsi="Cambria Math"/>
              </w:rPr>
              <m:t>235</m:t>
            </m:r>
          </m:sup>
          <m:e>
            <m:r>
              <w:rPr>
                <w:rFonts w:ascii="Cambria Math" w:hAnsi="Cambria Math"/>
              </w:rPr>
              <m:t>U</m:t>
            </m:r>
          </m:e>
        </m:sPre>
        <m:r>
          <w:rPr>
            <w:rFonts w:ascii="Cambria Math" w:hAnsi="Cambria Math"/>
          </w:rPr>
          <m:t>→</m:t>
        </m:r>
        <m:sPre>
          <m:sPrePr>
            <m:ctrlPr>
              <w:rPr>
                <w:rFonts w:ascii="Cambria Math" w:hAnsi="Cambria Math"/>
                <w:i/>
              </w:rPr>
            </m:ctrlPr>
          </m:sPrePr>
          <m:sub>
            <m:r>
              <w:rPr>
                <w:rFonts w:ascii="Cambria Math" w:hAnsi="Cambria Math"/>
              </w:rPr>
              <m:t>56</m:t>
            </m:r>
          </m:sub>
          <m:sup>
            <m:r>
              <w:rPr>
                <w:rFonts w:ascii="Cambria Math" w:hAnsi="Cambria Math"/>
              </w:rPr>
              <m:t>144</m:t>
            </m:r>
          </m:sup>
          <m:e>
            <m:r>
              <w:rPr>
                <w:rFonts w:ascii="Cambria Math" w:hAnsi="Cambria Math"/>
              </w:rPr>
              <m:t>B</m:t>
            </m:r>
          </m:e>
        </m:sPre>
        <m:r>
          <w:rPr>
            <w:rFonts w:ascii="Cambria Math" w:hAnsi="Cambria Math"/>
          </w:rPr>
          <m:t>a+</m:t>
        </m:r>
        <m:sPre>
          <m:sPrePr>
            <m:ctrlPr>
              <w:rPr>
                <w:rFonts w:ascii="Cambria Math" w:hAnsi="Cambria Math"/>
                <w:i/>
              </w:rPr>
            </m:ctrlPr>
          </m:sPrePr>
          <m:sub>
            <m:r>
              <w:rPr>
                <w:rFonts w:ascii="Cambria Math" w:hAnsi="Cambria Math"/>
              </w:rPr>
              <m:t>36</m:t>
            </m:r>
          </m:sub>
          <m:sup>
            <m:r>
              <w:rPr>
                <w:rFonts w:ascii="Cambria Math" w:hAnsi="Cambria Math"/>
              </w:rPr>
              <m:t>89</m:t>
            </m:r>
          </m:sup>
          <m:e>
            <m:r>
              <w:rPr>
                <w:rFonts w:ascii="Cambria Math" w:hAnsi="Cambria Math"/>
              </w:rPr>
              <m:t>K</m:t>
            </m:r>
          </m:e>
        </m:sPre>
        <m:r>
          <w:rPr>
            <w:rFonts w:ascii="Cambria Math" w:hAnsi="Cambria Math"/>
          </w:rPr>
          <m:t>r+3⋅</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+energie</m:t>
        </m:r>
      </m:oMath>
      <w:r w:rsidR="008356BE">
        <w:t xml:space="preserve"> nebo </w:t>
      </w:r>
      <m:oMath>
        <m:sPre>
          <m:sPrePr>
            <m:ctrlPr>
              <w:rPr>
                <w:rFonts w:ascii="Cambria Math" w:hAnsi="Cambria Math"/>
                <w:i/>
              </w:rPr>
            </m:ctrlPr>
          </m:sPrePr>
          <m:sub>
            <m:r>
              <w:rPr>
                <w:rFonts w:ascii="Cambria Math"/>
              </w:rPr>
              <m:t>0</m:t>
            </m:r>
          </m:sub>
          <m:sup>
            <m:r>
              <w:rPr>
                <w:rFonts w:ascii="Cambria Math"/>
              </w:rPr>
              <m:t>1</m:t>
            </m:r>
          </m:sup>
          <m:e>
            <m:r>
              <w:rPr>
                <w:rFonts w:ascii="Cambria Math"/>
              </w:rPr>
              <m:t>n</m:t>
            </m:r>
          </m:e>
        </m:sPre>
        <m:r>
          <w:rPr>
            <w:rFonts w:ascii="Cambria Math"/>
          </w:rPr>
          <m:t>+</m:t>
        </m:r>
        <m:sPre>
          <m:sPrePr>
            <m:ctrlPr>
              <w:rPr>
                <w:rFonts w:ascii="Cambria Math" w:hAnsi="Cambria Math"/>
                <w:i/>
              </w:rPr>
            </m:ctrlPr>
          </m:sPrePr>
          <m:sub>
            <m:r>
              <w:rPr>
                <w:rFonts w:ascii="Cambria Math"/>
              </w:rPr>
              <m:t>92</m:t>
            </m:r>
          </m:sub>
          <m:sup>
            <m:r>
              <w:rPr>
                <w:rFonts w:ascii="Cambria Math"/>
              </w:rPr>
              <m:t>235</m:t>
            </m:r>
          </m:sup>
          <m:e>
            <m:r>
              <w:rPr>
                <w:rFonts w:ascii="Cambria Math"/>
              </w:rPr>
              <m:t>U</m:t>
            </m:r>
          </m:e>
        </m:sPre>
        <m:r>
          <w:rPr>
            <w:rFonts w:ascii="Cambria Math"/>
          </w:rPr>
          <m:t>→</m:t>
        </m:r>
        <m:sPre>
          <m:sPrePr>
            <m:ctrlPr>
              <w:rPr>
                <w:rFonts w:ascii="Cambria Math" w:hAnsi="Cambria Math"/>
                <w:i/>
              </w:rPr>
            </m:ctrlPr>
          </m:sPrePr>
          <m:sub>
            <m:r>
              <w:rPr>
                <w:rFonts w:ascii="Cambria Math"/>
              </w:rPr>
              <m:t>42</m:t>
            </m:r>
          </m:sub>
          <m:sup>
            <m:r>
              <w:rPr>
                <w:rFonts w:ascii="Cambria Math"/>
              </w:rPr>
              <m:t>95</m:t>
            </m:r>
          </m:sup>
          <m:e>
            <m:r>
              <w:rPr>
                <w:rFonts w:ascii="Cambria Math"/>
              </w:rPr>
              <m:t>M</m:t>
            </m:r>
          </m:e>
        </m:sPre>
        <m:r>
          <w:rPr>
            <w:rFonts w:ascii="Cambria Math"/>
          </w:rPr>
          <m:t>o+</m:t>
        </m:r>
        <m:sPre>
          <m:sPrePr>
            <m:ctrlPr>
              <w:rPr>
                <w:rFonts w:ascii="Cambria Math" w:hAnsi="Cambria Math"/>
                <w:i/>
              </w:rPr>
            </m:ctrlPr>
          </m:sPrePr>
          <m:sub>
            <m:r>
              <w:rPr>
                <w:rFonts w:ascii="Cambria Math"/>
              </w:rPr>
              <m:t>57</m:t>
            </m:r>
          </m:sub>
          <m:sup>
            <m:r>
              <w:rPr>
                <w:rFonts w:ascii="Cambria Math"/>
              </w:rPr>
              <m:t>139</m:t>
            </m:r>
          </m:sup>
          <m:e>
            <m:r>
              <w:rPr>
                <w:rFonts w:ascii="Cambria Math"/>
              </w:rPr>
              <m:t>L</m:t>
            </m:r>
          </m:e>
        </m:sPre>
        <m:r>
          <w:rPr>
            <w:rFonts w:ascii="Cambria Math"/>
          </w:rPr>
          <m:t>a+2</m:t>
        </m:r>
        <m:r>
          <w:rPr>
            <w:rFonts w:ascii="Cambria Math" w:hAnsi="Cambria Math" w:cs="Cambria Math"/>
          </w:rPr>
          <m:t>⋅</m:t>
        </m:r>
        <m:sPre>
          <m:sPrePr>
            <m:ctrlPr>
              <w:rPr>
                <w:rFonts w:ascii="Cambria Math" w:hAnsi="Cambria Math"/>
                <w:i/>
              </w:rPr>
            </m:ctrlPr>
          </m:sPrePr>
          <m:sub>
            <m:r>
              <w:rPr>
                <w:rFonts w:ascii="Cambria Math"/>
              </w:rPr>
              <m:t>0</m:t>
            </m:r>
          </m:sub>
          <m:sup>
            <m:r>
              <w:rPr>
                <w:rFonts w:ascii="Cambria Math"/>
              </w:rPr>
              <m:t>1</m:t>
            </m:r>
          </m:sup>
          <m:e>
            <m:r>
              <w:rPr>
                <w:rFonts w:ascii="Cambria Math"/>
              </w:rPr>
              <m:t>n</m:t>
            </m:r>
          </m:e>
        </m:sPre>
        <m:r>
          <w:rPr>
            <w:rFonts w:ascii="Cambria Math"/>
          </w:rPr>
          <m:t>+7</m:t>
        </m:r>
        <m:sPre>
          <m:sPrePr>
            <m:ctrlPr>
              <w:rPr>
                <w:rFonts w:ascii="Cambria Math" w:hAnsi="Cambria Math"/>
                <w:i/>
              </w:rPr>
            </m:ctrlPr>
          </m:sPrePr>
          <m:sub>
            <m:r>
              <w:rPr>
                <w:rFonts w:ascii="Cambria Math"/>
              </w:rPr>
              <m:t>-</m:t>
            </m:r>
            <m:r>
              <w:rPr>
                <w:rFonts w:ascii="Cambria Math"/>
              </w:rPr>
              <m:t>1</m:t>
            </m:r>
          </m:sub>
          <m:sup>
            <m:r>
              <w:rPr>
                <w:rFonts w:ascii="Cambria Math"/>
              </w:rPr>
              <m:t>0</m:t>
            </m:r>
          </m:sup>
          <m:e>
            <m:r>
              <w:rPr>
                <w:rFonts w:ascii="Cambria Math"/>
              </w:rPr>
              <m:t>e</m:t>
            </m:r>
          </m:e>
        </m:sPre>
        <m:r>
          <w:rPr>
            <w:rFonts w:ascii="Cambria Math"/>
          </w:rPr>
          <m:t>+energie</m:t>
        </m:r>
      </m:oMath>
      <w:r w:rsidR="008356BE">
        <w:t xml:space="preserve">. </w:t>
      </w:r>
      <w:r>
        <w:t xml:space="preserve">To je klasická cesta využívaná v současných jaderných elektrárnách. </w:t>
      </w:r>
      <w:r w:rsidR="008356BE">
        <w:t>Jejím největším problémem je, že produkty probíhajících reakcí jsou značně radioaktivní a je třeba je po extrémně dlouhou dobu skladovat odděleně od životního prostředí.</w:t>
      </w:r>
    </w:p>
    <w:p w14:paraId="564A5570" w14:textId="77777777" w:rsidR="00CC0B26" w:rsidRDefault="00544392" w:rsidP="00B23E6F">
      <w:r>
        <w:rPr>
          <w:noProof/>
        </w:rPr>
        <w:drawing>
          <wp:inline distT="0" distB="0" distL="0" distR="0" wp14:anchorId="2FBFC34E" wp14:editId="6AB46465">
            <wp:extent cx="6834505" cy="4542790"/>
            <wp:effectExtent l="0" t="0" r="4445" b="0"/>
            <wp:docPr id="50" name="obrázek 50" descr="retezova re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tezova reak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4505" cy="4542790"/>
                    </a:xfrm>
                    <a:prstGeom prst="rect">
                      <a:avLst/>
                    </a:prstGeom>
                    <a:noFill/>
                    <a:ln>
                      <a:noFill/>
                    </a:ln>
                  </pic:spPr>
                </pic:pic>
              </a:graphicData>
            </a:graphic>
          </wp:inline>
        </w:drawing>
      </w:r>
    </w:p>
    <w:p w14:paraId="7CBC8D30" w14:textId="77777777" w:rsidR="00BF27C8" w:rsidRDefault="00BF27C8" w:rsidP="00BF27C8">
      <w:pPr>
        <w:pStyle w:val="Nadpis3"/>
      </w:pPr>
      <w:bookmarkStart w:id="14" w:name="_Toc211009955"/>
      <w:r>
        <w:t>Termonukleární reakce</w:t>
      </w:r>
      <w:bookmarkEnd w:id="14"/>
    </w:p>
    <w:p w14:paraId="68817308" w14:textId="55E60873" w:rsidR="00A32706" w:rsidRDefault="00544392" w:rsidP="00E819DD">
      <w:r>
        <w:rPr>
          <w:noProof/>
        </w:rPr>
        <w:drawing>
          <wp:anchor distT="0" distB="0" distL="114300" distR="114300" simplePos="0" relativeHeight="251657728" behindDoc="1" locked="0" layoutInCell="1" allowOverlap="1" wp14:anchorId="257C6776" wp14:editId="3099DB81">
            <wp:simplePos x="0" y="0"/>
            <wp:positionH relativeFrom="column">
              <wp:align>right</wp:align>
            </wp:positionH>
            <wp:positionV relativeFrom="paragraph">
              <wp:posOffset>-3810</wp:posOffset>
            </wp:positionV>
            <wp:extent cx="2383790" cy="2359660"/>
            <wp:effectExtent l="0" t="0" r="0" b="0"/>
            <wp:wrapSquare wrapText="bothSides"/>
            <wp:docPr id="20" name="obrázek 20" descr="http://upload.wikimedia.org/wikipedia/commons/thumb/a/aa/D-t-fusion.png/250px-D-t-fusion.png">
              <a:hlinkClick xmlns:a="http://schemas.openxmlformats.org/drawingml/2006/main" r:id="rId21" tooltip="&quot;Schematické znázornění fúze jádra tritia a deuter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a/aa/D-t-fusion.png/250px-D-t-fusion.png">
                      <a:hlinkClick r:id="rId21" tooltip="&quot;Schematické znázornění fúze jádra tritia a deuteria&quot;"/>
                    </pic:cNvPr>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38379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BE">
        <w:t xml:space="preserve">Druhá cesta </w:t>
      </w:r>
      <w:r w:rsidR="00B07DA1">
        <w:t>je tzv. termonukleární reakce. Jde o</w:t>
      </w:r>
      <w:r w:rsidR="008356BE">
        <w:t xml:space="preserve"> sloučení (syntéz</w:t>
      </w:r>
      <w:r w:rsidR="00B07DA1">
        <w:t>u</w:t>
      </w:r>
      <w:r w:rsidR="008356BE">
        <w:t>) vhodných lehkých jader (</w:t>
      </w:r>
      <w:r w:rsidR="00B07DA1">
        <w:t xml:space="preserve">např. </w:t>
      </w:r>
      <w:r w:rsidR="008356BE">
        <w:t xml:space="preserve">deuteria </w:t>
      </w:r>
      <m:oMath>
        <m:sPre>
          <m:sPrePr>
            <m:ctrlPr>
              <w:rPr>
                <w:rFonts w:ascii="Cambria Math" w:hAnsi="Cambria Math"/>
                <w:i/>
              </w:rPr>
            </m:ctrlPr>
          </m:sPrePr>
          <m:sub>
            <m:r>
              <w:rPr>
                <w:rFonts w:ascii="Cambria Math"/>
              </w:rPr>
              <m:t>1</m:t>
            </m:r>
          </m:sub>
          <m:sup>
            <m:r>
              <w:rPr>
                <w:rFonts w:ascii="Cambria Math"/>
              </w:rPr>
              <m:t>2</m:t>
            </m:r>
          </m:sup>
          <m:e>
            <m:r>
              <w:rPr>
                <w:rFonts w:ascii="Cambria Math"/>
              </w:rPr>
              <m:t>H</m:t>
            </m:r>
          </m:e>
        </m:sPre>
      </m:oMath>
      <w:r w:rsidR="008356BE">
        <w:t xml:space="preserve">a tritia </w:t>
      </w:r>
      <m:oMath>
        <m:sPre>
          <m:sPrePr>
            <m:ctrlPr>
              <w:rPr>
                <w:rFonts w:ascii="Cambria Math" w:hAnsi="Cambria Math"/>
                <w:i/>
              </w:rPr>
            </m:ctrlPr>
          </m:sPrePr>
          <m:sub>
            <m:r>
              <w:rPr>
                <w:rFonts w:ascii="Cambria Math" w:hAnsi="Cambria Math"/>
              </w:rPr>
              <m:t>1</m:t>
            </m:r>
          </m:sub>
          <m:sup>
            <m:r>
              <w:rPr>
                <w:rFonts w:ascii="Cambria Math" w:hAnsi="Cambria Math"/>
              </w:rPr>
              <m:t>3</m:t>
            </m:r>
          </m:sup>
          <m:e>
            <m:r>
              <w:rPr>
                <w:rFonts w:ascii="Cambria Math" w:hAnsi="Cambria Math"/>
              </w:rPr>
              <m:t>H</m:t>
            </m:r>
          </m:e>
        </m:sPre>
      </m:oMath>
      <w:r w:rsidR="008356BE">
        <w:t xml:space="preserve">) a vytvoření dobře vázaného jádra hélia. Příklady </w:t>
      </w:r>
      <m:oMath>
        <m:sPre>
          <m:sPrePr>
            <m:ctrlPr>
              <w:rPr>
                <w:rFonts w:ascii="Cambria Math" w:hAnsi="Cambria Math"/>
                <w:i/>
              </w:rPr>
            </m:ctrlPr>
          </m:sPrePr>
          <m:sub>
            <m:r>
              <w:rPr>
                <w:rFonts w:ascii="Cambria Math" w:hAnsi="Cambria Math"/>
              </w:rPr>
              <m:t>1</m:t>
            </m:r>
          </m:sub>
          <m:sup>
            <m:r>
              <w:rPr>
                <w:rFonts w:ascii="Cambria Math" w:hAnsi="Cambria Math"/>
              </w:rPr>
              <m:t>2</m:t>
            </m:r>
          </m:sup>
          <m:e>
            <m:r>
              <w:rPr>
                <w:rFonts w:ascii="Cambria Math" w:hAnsi="Cambria Math"/>
              </w:rPr>
              <m:t>H</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3</m:t>
            </m:r>
          </m:sup>
          <m:e>
            <m:r>
              <w:rPr>
                <w:rFonts w:ascii="Cambria Math" w:hAnsi="Cambria Math"/>
              </w:rPr>
              <m:t>H</m:t>
            </m:r>
          </m:e>
        </m:sPre>
        <m:r>
          <w:rPr>
            <w:rFonts w:ascii="Cambria Math" w:hAnsi="Cambria Math"/>
          </w:rPr>
          <m:t>→</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m:t>
            </m:r>
          </m:e>
        </m:sPre>
        <m:r>
          <w:rPr>
            <w:rFonts w:ascii="Cambria Math" w:hAnsi="Cambria Math"/>
          </w:rPr>
          <m:t>e+</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+17,6</m:t>
        </m:r>
        <m:r>
          <m:rPr>
            <m:nor/>
          </m:rPr>
          <w:rPr>
            <w:rFonts w:ascii="Cambria Math" w:hAnsi="Cambria Math"/>
          </w:rPr>
          <m:t>MeV</m:t>
        </m:r>
      </m:oMath>
      <w:r w:rsidR="00B07DA1">
        <w:t xml:space="preserve">nebo </w:t>
      </w:r>
      <m:oMath>
        <m:sPre>
          <m:sPrePr>
            <m:ctrlPr>
              <w:rPr>
                <w:rFonts w:ascii="Cambria Math" w:hAnsi="Cambria Math"/>
                <w:i/>
              </w:rPr>
            </m:ctrlPr>
          </m:sPrePr>
          <m:sub>
            <m:r>
              <w:rPr>
                <w:rFonts w:ascii="Cambria Math"/>
              </w:rPr>
              <m:t>1</m:t>
            </m:r>
          </m:sub>
          <m:sup>
            <m:r>
              <w:rPr>
                <w:rFonts w:ascii="Cambria Math"/>
              </w:rPr>
              <m:t>1</m:t>
            </m:r>
          </m:sup>
          <m:e>
            <m:r>
              <w:rPr>
                <w:rFonts w:ascii="Cambria Math"/>
              </w:rPr>
              <m:t>H</m:t>
            </m:r>
          </m:e>
        </m:sPre>
        <m:r>
          <w:rPr>
            <w:rFonts w:ascii="Cambria Math"/>
          </w:rPr>
          <m:t>+</m:t>
        </m:r>
        <m:sPre>
          <m:sPrePr>
            <m:ctrlPr>
              <w:rPr>
                <w:rFonts w:ascii="Cambria Math" w:hAnsi="Cambria Math"/>
                <w:i/>
              </w:rPr>
            </m:ctrlPr>
          </m:sPrePr>
          <m:sub>
            <m:r>
              <w:rPr>
                <w:rFonts w:ascii="Cambria Math"/>
              </w:rPr>
              <m:t>1</m:t>
            </m:r>
          </m:sub>
          <m:sup>
            <m:r>
              <w:rPr>
                <w:rFonts w:ascii="Cambria Math"/>
              </w:rPr>
              <m:t>3</m:t>
            </m:r>
          </m:sup>
          <m:e>
            <m:r>
              <w:rPr>
                <w:rFonts w:ascii="Cambria Math"/>
              </w:rPr>
              <m:t>H</m:t>
            </m:r>
          </m:e>
        </m:sPre>
        <m:r>
          <w:rPr>
            <w:rFonts w:ascii="Cambria Math"/>
          </w:rPr>
          <m:t>→</m:t>
        </m:r>
        <m:sPre>
          <m:sPrePr>
            <m:ctrlPr>
              <w:rPr>
                <w:rFonts w:ascii="Cambria Math" w:hAnsi="Cambria Math"/>
                <w:i/>
              </w:rPr>
            </m:ctrlPr>
          </m:sPrePr>
          <m:sub>
            <m:r>
              <w:rPr>
                <w:rFonts w:ascii="Cambria Math"/>
              </w:rPr>
              <m:t>2</m:t>
            </m:r>
          </m:sub>
          <m:sup>
            <m:r>
              <w:rPr>
                <w:rFonts w:ascii="Cambria Math"/>
              </w:rPr>
              <m:t>4</m:t>
            </m:r>
          </m:sup>
          <m:e>
            <m:r>
              <w:rPr>
                <w:rFonts w:ascii="Cambria Math"/>
              </w:rPr>
              <m:t>H</m:t>
            </m:r>
          </m:e>
        </m:sPre>
        <m:r>
          <w:rPr>
            <w:rFonts w:ascii="Cambria Math"/>
          </w:rPr>
          <m:t>e+10,8</m:t>
        </m:r>
        <m:r>
          <m:rPr>
            <m:nor/>
          </m:rPr>
          <w:rPr>
            <w:rFonts w:ascii="Cambria Math"/>
          </w:rPr>
          <m:t>MeV</m:t>
        </m:r>
      </m:oMath>
      <w:r w:rsidR="00B07DA1">
        <w:t xml:space="preserve">nebo </w:t>
      </w:r>
      <m:oMath>
        <m:sPre>
          <m:sPrePr>
            <m:ctrlPr>
              <w:rPr>
                <w:rFonts w:ascii="Cambria Math" w:hAnsi="Cambria Math"/>
                <w:i/>
              </w:rPr>
            </m:ctrlPr>
          </m:sPrePr>
          <m:sub>
            <m:r>
              <w:rPr>
                <w:rFonts w:ascii="Cambria Math"/>
              </w:rPr>
              <m:t>1</m:t>
            </m:r>
          </m:sub>
          <m:sup>
            <m:r>
              <w:rPr>
                <w:rFonts w:ascii="Cambria Math"/>
              </w:rPr>
              <m:t>2</m:t>
            </m:r>
          </m:sup>
          <m:e>
            <m:r>
              <w:rPr>
                <w:rFonts w:ascii="Cambria Math"/>
              </w:rPr>
              <m:t>H</m:t>
            </m:r>
          </m:e>
        </m:sPre>
        <m:r>
          <w:rPr>
            <w:rFonts w:ascii="Cambria Math"/>
          </w:rPr>
          <m:t>+</m:t>
        </m:r>
        <m:sPre>
          <m:sPrePr>
            <m:ctrlPr>
              <w:rPr>
                <w:rFonts w:ascii="Cambria Math" w:hAnsi="Cambria Math"/>
                <w:i/>
              </w:rPr>
            </m:ctrlPr>
          </m:sPrePr>
          <m:sub>
            <m:r>
              <w:rPr>
                <w:rFonts w:ascii="Cambria Math"/>
              </w:rPr>
              <m:t>3</m:t>
            </m:r>
          </m:sub>
          <m:sup>
            <m:r>
              <w:rPr>
                <w:rFonts w:ascii="Cambria Math"/>
              </w:rPr>
              <m:t>6</m:t>
            </m:r>
          </m:sup>
          <m:e>
            <m:r>
              <w:rPr>
                <w:rFonts w:ascii="Cambria Math"/>
              </w:rPr>
              <m:t>L</m:t>
            </m:r>
          </m:e>
        </m:sPre>
        <m:r>
          <w:rPr>
            <w:rFonts w:ascii="Cambria Math"/>
          </w:rPr>
          <m:t>i</m:t>
        </m:r>
        <m:r>
          <w:rPr>
            <w:rFonts w:ascii="Cambria Math"/>
          </w:rPr>
          <m:t>→</m:t>
        </m:r>
        <m:r>
          <w:rPr>
            <w:rFonts w:ascii="Cambria Math"/>
          </w:rPr>
          <m:t>2</m:t>
        </m:r>
        <m:r>
          <w:rPr>
            <w:rFonts w:ascii="Cambria Math" w:hAnsi="Cambria Math" w:cs="Cambria Math"/>
          </w:rPr>
          <m:t>⋅</m:t>
        </m:r>
        <m:sPre>
          <m:sPrePr>
            <m:ctrlPr>
              <w:rPr>
                <w:rFonts w:ascii="Cambria Math" w:hAnsi="Cambria Math"/>
                <w:i/>
              </w:rPr>
            </m:ctrlPr>
          </m:sPrePr>
          <m:sub>
            <m:r>
              <w:rPr>
                <w:rFonts w:ascii="Cambria Math"/>
              </w:rPr>
              <m:t>2</m:t>
            </m:r>
          </m:sub>
          <m:sup>
            <m:r>
              <w:rPr>
                <w:rFonts w:ascii="Cambria Math"/>
              </w:rPr>
              <m:t>4</m:t>
            </m:r>
          </m:sup>
          <m:e>
            <m:r>
              <w:rPr>
                <w:rFonts w:ascii="Cambria Math"/>
              </w:rPr>
              <m:t>H</m:t>
            </m:r>
          </m:e>
        </m:sPre>
        <m:r>
          <w:rPr>
            <w:rFonts w:ascii="Cambria Math"/>
          </w:rPr>
          <m:t>e+22,36</m:t>
        </m:r>
        <m:r>
          <m:rPr>
            <m:nor/>
          </m:rPr>
          <w:rPr>
            <w:rFonts w:ascii="Cambria Math"/>
          </w:rPr>
          <m:t>MeV</m:t>
        </m:r>
      </m:oMath>
      <w:r w:rsidR="00B07DA1">
        <w:t xml:space="preserve">. K zahájení takových reakcí je však třeba vytvořit mimořádné podmínky (extrémní teplota a tlak) pro překonání odpudivých elektrických sil působících mezi jádry. Takové podmínky existují v nitru Slunce a ostatních hvězd, kde termonukleární reakce probíhají. Na Zemi se termonukleární rekci v plné síle podařilo uskutečnit jen ve formě výbuchu vodíkové bomby. Počáteční podmínky zde byly zajištěny výbuchem klasické atomové bomby pracující na principu štěpné reakce. Již mnoho let, avšak zatím jen s malými </w:t>
      </w:r>
      <w:r w:rsidR="00A32706">
        <w:t xml:space="preserve">úspěchy, probíhá výzkum směřující k ovládnutí termonukleární reakce a jejího využití k výrobě energie. Termonukleární reakce je ve srovnání se štěpnou reakcí efektivnější (z jednoho kilogramu paliva se uvolní více energie). Získání paliva (např. z mořské vody) by bylo jednodušší než současná těžba a obohacování uranu. Samotná reakce je provázena jaderným zářením, které by muselo být odstíněno, podobně jako v současných jaderných elektrárnách. Produkty reakcí však radioaktivní nejsou, což představuje oproti štěpení </w:t>
      </w:r>
      <w:r w:rsidR="00496404">
        <w:t xml:space="preserve">další </w:t>
      </w:r>
      <w:r w:rsidR="00A32706">
        <w:t xml:space="preserve">obrovskou výhodu.  </w:t>
      </w:r>
    </w:p>
    <w:p w14:paraId="4926D8D7" w14:textId="77777777" w:rsidR="00A32706" w:rsidRDefault="003B53F0" w:rsidP="00704443">
      <w:pPr>
        <w:pStyle w:val="Nadpis3"/>
      </w:pPr>
      <w:bookmarkStart w:id="15" w:name="_Toc211009956"/>
      <w:r>
        <w:lastRenderedPageBreak/>
        <w:t>Hlavní druhy jaderného</w:t>
      </w:r>
      <w:r w:rsidR="00704443">
        <w:t xml:space="preserve"> záření</w:t>
      </w:r>
      <w:bookmarkEnd w:id="15"/>
      <w:r w:rsidR="00704443">
        <w:t xml:space="preserve"> </w:t>
      </w:r>
    </w:p>
    <w:p w14:paraId="72598F43" w14:textId="3C2C0850" w:rsidR="003B53F0" w:rsidRDefault="003B53F0" w:rsidP="00E819DD">
      <w:r>
        <w:t xml:space="preserve">Záření alfa </w:t>
      </w:r>
      <w:r w:rsidR="00704443">
        <w:t xml:space="preserve">α je proud heliových jader </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m:t>
            </m:r>
          </m:e>
        </m:sPre>
        <m:r>
          <w:rPr>
            <w:rFonts w:ascii="Cambria Math" w:hAnsi="Cambria Math"/>
          </w:rPr>
          <m:t>e</m:t>
        </m:r>
      </m:oMath>
      <w:r w:rsidR="00704443">
        <w:t xml:space="preserve">. Příkladem je rozpad radia </w:t>
      </w:r>
      <m:oMath>
        <m:sPre>
          <m:sPrePr>
            <m:ctrlPr>
              <w:rPr>
                <w:rFonts w:ascii="Cambria Math" w:hAnsi="Cambria Math"/>
                <w:i/>
              </w:rPr>
            </m:ctrlPr>
          </m:sPrePr>
          <m:sub>
            <m:r>
              <w:rPr>
                <w:rFonts w:ascii="Cambria Math" w:hAnsi="Cambria Math"/>
              </w:rPr>
              <m:t>88</m:t>
            </m:r>
          </m:sub>
          <m:sup>
            <m:r>
              <w:rPr>
                <w:rFonts w:ascii="Cambria Math" w:hAnsi="Cambria Math"/>
              </w:rPr>
              <m:t>226</m:t>
            </m:r>
          </m:sup>
          <m:e>
            <m:r>
              <w:rPr>
                <w:rFonts w:ascii="Cambria Math" w:hAnsi="Cambria Math"/>
              </w:rPr>
              <m:t>R</m:t>
            </m:r>
          </m:e>
        </m:sPre>
        <m:r>
          <w:rPr>
            <w:rFonts w:ascii="Cambria Math" w:hAnsi="Cambria Math"/>
          </w:rPr>
          <m:t>a→</m:t>
        </m:r>
        <m:sPre>
          <m:sPrePr>
            <m:ctrlPr>
              <w:rPr>
                <w:rFonts w:ascii="Cambria Math" w:hAnsi="Cambria Math"/>
                <w:i/>
              </w:rPr>
            </m:ctrlPr>
          </m:sPrePr>
          <m:sub>
            <m:r>
              <w:rPr>
                <w:rFonts w:ascii="Cambria Math" w:hAnsi="Cambria Math"/>
              </w:rPr>
              <m:t>86</m:t>
            </m:r>
          </m:sub>
          <m:sup>
            <m:r>
              <w:rPr>
                <w:rFonts w:ascii="Cambria Math" w:hAnsi="Cambria Math"/>
              </w:rPr>
              <m:t>222</m:t>
            </m:r>
          </m:sup>
          <m:e>
            <m:r>
              <w:rPr>
                <w:rFonts w:ascii="Cambria Math" w:hAnsi="Cambria Math"/>
              </w:rPr>
              <m:t>R</m:t>
            </m:r>
          </m:e>
        </m:sPre>
        <m:r>
          <w:rPr>
            <w:rFonts w:ascii="Cambria Math" w:hAnsi="Cambria Math"/>
          </w:rPr>
          <m:t>n+</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m:t>
            </m:r>
          </m:e>
        </m:sPre>
        <m:r>
          <w:rPr>
            <w:rFonts w:ascii="Cambria Math" w:hAnsi="Cambria Math"/>
          </w:rPr>
          <m:t>e</m:t>
        </m:r>
      </m:oMath>
      <w:r w:rsidR="00704443">
        <w:t xml:space="preserve"> a následně radonu </w:t>
      </w:r>
      <m:oMath>
        <m:sPre>
          <m:sPrePr>
            <m:ctrlPr>
              <w:rPr>
                <w:rFonts w:ascii="Cambria Math" w:hAnsi="Cambria Math"/>
                <w:i/>
              </w:rPr>
            </m:ctrlPr>
          </m:sPrePr>
          <m:sub>
            <m:r>
              <w:rPr>
                <w:rFonts w:ascii="Cambria Math"/>
              </w:rPr>
              <m:t>86</m:t>
            </m:r>
          </m:sub>
          <m:sup>
            <m:r>
              <w:rPr>
                <w:rFonts w:ascii="Cambria Math"/>
              </w:rPr>
              <m:t>222</m:t>
            </m:r>
          </m:sup>
          <m:e>
            <m:r>
              <w:rPr>
                <w:rFonts w:ascii="Cambria Math"/>
              </w:rPr>
              <m:t>R</m:t>
            </m:r>
          </m:e>
        </m:sPre>
        <m:r>
          <w:rPr>
            <w:rFonts w:ascii="Cambria Math"/>
          </w:rPr>
          <m:t>n</m:t>
        </m:r>
        <m:r>
          <w:rPr>
            <w:rFonts w:ascii="Cambria Math"/>
          </w:rPr>
          <m:t>→</m:t>
        </m:r>
        <m:sPre>
          <m:sPrePr>
            <m:ctrlPr>
              <w:rPr>
                <w:rFonts w:ascii="Cambria Math" w:hAnsi="Cambria Math"/>
                <w:i/>
              </w:rPr>
            </m:ctrlPr>
          </m:sPrePr>
          <m:sub>
            <m:r>
              <w:rPr>
                <w:rFonts w:ascii="Cambria Math"/>
              </w:rPr>
              <m:t>84</m:t>
            </m:r>
          </m:sub>
          <m:sup>
            <m:r>
              <w:rPr>
                <w:rFonts w:ascii="Cambria Math"/>
              </w:rPr>
              <m:t>218</m:t>
            </m:r>
          </m:sup>
          <m:e>
            <m:r>
              <w:rPr>
                <w:rFonts w:ascii="Cambria Math"/>
              </w:rPr>
              <m:t>P</m:t>
            </m:r>
          </m:e>
        </m:sPre>
        <m:r>
          <w:rPr>
            <w:rFonts w:ascii="Cambria Math"/>
          </w:rPr>
          <m:t>o+</m:t>
        </m:r>
        <m:sPre>
          <m:sPrePr>
            <m:ctrlPr>
              <w:rPr>
                <w:rFonts w:ascii="Cambria Math" w:hAnsi="Cambria Math"/>
                <w:i/>
              </w:rPr>
            </m:ctrlPr>
          </m:sPrePr>
          <m:sub>
            <m:r>
              <w:rPr>
                <w:rFonts w:ascii="Cambria Math"/>
              </w:rPr>
              <m:t>2</m:t>
            </m:r>
          </m:sub>
          <m:sup>
            <m:r>
              <w:rPr>
                <w:rFonts w:ascii="Cambria Math"/>
              </w:rPr>
              <m:t>4</m:t>
            </m:r>
          </m:sup>
          <m:e>
            <m:r>
              <w:rPr>
                <w:rFonts w:ascii="Cambria Math"/>
              </w:rPr>
              <m:t>H</m:t>
            </m:r>
          </m:e>
        </m:sPre>
        <m:r>
          <w:rPr>
            <w:rFonts w:ascii="Cambria Math"/>
          </w:rPr>
          <m:t>e</m:t>
        </m:r>
      </m:oMath>
      <w:r w:rsidR="00693904">
        <w:t>.</w:t>
      </w:r>
    </w:p>
    <w:p w14:paraId="70D9F167" w14:textId="577AAC6D" w:rsidR="00704443" w:rsidRDefault="00704443" w:rsidP="00E819DD">
      <w:r>
        <w:t xml:space="preserve">Záření beta β je proud elektronů </w:t>
      </w:r>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w:r w:rsidR="00BF27C8">
        <w:t xml:space="preserve">. Příkladem je reakce </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r>
          <w:rPr>
            <w:rFonts w:ascii="Cambria Math" w:hAnsi="Cambria Math"/>
          </w:rPr>
          <m:t>→</m:t>
        </m:r>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rPr>
              <m:t>N</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w:r w:rsidR="00693904">
        <w:t xml:space="preserve"> nebo produkce plutonia </w:t>
      </w:r>
      <m:oMath>
        <m:sPre>
          <m:sPrePr>
            <m:ctrlPr>
              <w:rPr>
                <w:rFonts w:ascii="Cambria Math" w:hAnsi="Cambria Math"/>
                <w:i/>
              </w:rPr>
            </m:ctrlPr>
          </m:sPrePr>
          <m:sub>
            <m:r>
              <w:rPr>
                <w:rFonts w:ascii="Cambria Math"/>
              </w:rPr>
              <m:t>0</m:t>
            </m:r>
          </m:sub>
          <m:sup>
            <m:r>
              <w:rPr>
                <w:rFonts w:ascii="Cambria Math"/>
              </w:rPr>
              <m:t>1</m:t>
            </m:r>
          </m:sup>
          <m:e>
            <m:r>
              <w:rPr>
                <w:rFonts w:ascii="Cambria Math"/>
              </w:rPr>
              <m:t>n</m:t>
            </m:r>
          </m:e>
        </m:sPre>
        <m:r>
          <w:rPr>
            <w:rFonts w:ascii="Cambria Math"/>
          </w:rPr>
          <m:t>+</m:t>
        </m:r>
        <m:sPre>
          <m:sPrePr>
            <m:ctrlPr>
              <w:rPr>
                <w:rFonts w:ascii="Cambria Math" w:hAnsi="Cambria Math"/>
                <w:i/>
              </w:rPr>
            </m:ctrlPr>
          </m:sPrePr>
          <m:sub>
            <m:r>
              <w:rPr>
                <w:rFonts w:ascii="Cambria Math"/>
              </w:rPr>
              <m:t>92</m:t>
            </m:r>
          </m:sub>
          <m:sup>
            <m:r>
              <w:rPr>
                <w:rFonts w:ascii="Cambria Math"/>
              </w:rPr>
              <m:t>238</m:t>
            </m:r>
          </m:sup>
          <m:e>
            <m:r>
              <w:rPr>
                <w:rFonts w:ascii="Cambria Math"/>
              </w:rPr>
              <m:t>U</m:t>
            </m:r>
          </m:e>
        </m:sPre>
        <m:r>
          <w:rPr>
            <w:rFonts w:ascii="Cambria Math"/>
          </w:rPr>
          <m:t>→</m:t>
        </m:r>
        <m:sPre>
          <m:sPrePr>
            <m:ctrlPr>
              <w:rPr>
                <w:rFonts w:ascii="Cambria Math" w:hAnsi="Cambria Math"/>
                <w:i/>
              </w:rPr>
            </m:ctrlPr>
          </m:sPrePr>
          <m:sub>
            <m:r>
              <w:rPr>
                <w:rFonts w:ascii="Cambria Math"/>
              </w:rPr>
              <m:t>94</m:t>
            </m:r>
          </m:sub>
          <m:sup>
            <m:r>
              <w:rPr>
                <w:rFonts w:ascii="Cambria Math"/>
              </w:rPr>
              <m:t>239</m:t>
            </m:r>
          </m:sup>
          <m:e>
            <m:r>
              <w:rPr>
                <w:rFonts w:ascii="Cambria Math"/>
              </w:rPr>
              <m:t>P</m:t>
            </m:r>
          </m:e>
        </m:sPre>
        <m:r>
          <w:rPr>
            <w:rFonts w:ascii="Cambria Math"/>
          </w:rPr>
          <m:t>u+2</m:t>
        </m:r>
        <m:r>
          <w:rPr>
            <w:rFonts w:ascii="Cambria Math" w:hAnsi="Cambria Math" w:cs="Cambria Math"/>
          </w:rPr>
          <m:t>⋅</m:t>
        </m:r>
        <m:sPre>
          <m:sPrePr>
            <m:ctrlPr>
              <w:rPr>
                <w:rFonts w:ascii="Cambria Math" w:hAnsi="Cambria Math"/>
                <w:i/>
              </w:rPr>
            </m:ctrlPr>
          </m:sPrePr>
          <m:sub>
            <m:r>
              <w:rPr>
                <w:rFonts w:ascii="Cambria Math"/>
              </w:rPr>
              <m:t>-</m:t>
            </m:r>
            <m:r>
              <w:rPr>
                <w:rFonts w:ascii="Cambria Math"/>
              </w:rPr>
              <m:t>1</m:t>
            </m:r>
          </m:sub>
          <m:sup>
            <m:r>
              <w:rPr>
                <w:rFonts w:ascii="Cambria Math"/>
              </w:rPr>
              <m:t>0</m:t>
            </m:r>
          </m:sup>
          <m:e>
            <m:r>
              <w:rPr>
                <w:rFonts w:ascii="Cambria Math"/>
              </w:rPr>
              <m:t>e</m:t>
            </m:r>
          </m:e>
        </m:sPre>
        <m:r>
          <w:rPr>
            <w:rFonts w:ascii="Cambria Math"/>
          </w:rPr>
          <m:t>+2</m:t>
        </m:r>
        <m:r>
          <w:rPr>
            <w:rFonts w:ascii="Cambria Math" w:hAnsi="Cambria Math" w:cs="Cambria Math"/>
          </w:rPr>
          <m:t>⋅</m:t>
        </m:r>
        <m:sSub>
          <m:sSubPr>
            <m:ctrlPr>
              <w:rPr>
                <w:rFonts w:ascii="Cambria Math" w:hAnsi="Cambria Math"/>
                <w:i/>
              </w:rPr>
            </m:ctrlPr>
          </m:sSubPr>
          <m:e>
            <m:r>
              <w:rPr>
                <w:rFonts w:ascii="Cambria Math"/>
              </w:rPr>
              <m:t>ν</m:t>
            </m:r>
          </m:e>
          <m:sub>
            <m:r>
              <w:rPr>
                <w:rFonts w:ascii="Cambria Math"/>
              </w:rPr>
              <m:t>e</m:t>
            </m:r>
          </m:sub>
        </m:sSub>
      </m:oMath>
      <w:r w:rsidR="00693904">
        <w:t>.</w:t>
      </w:r>
      <w:r w:rsidR="00BF27C8">
        <w:t xml:space="preserve"> </w:t>
      </w:r>
    </w:p>
    <w:p w14:paraId="740EE431" w14:textId="7DC49528" w:rsidR="00704443" w:rsidRDefault="00704443" w:rsidP="00E819DD">
      <w:r>
        <w:t xml:space="preserve">Záření </w:t>
      </w:r>
      <w:r w:rsidRPr="00BE5C22">
        <w:t>beta β</w:t>
      </w:r>
      <w:r w:rsidRPr="00BE5C22">
        <w:rPr>
          <w:vertAlign w:val="superscript"/>
        </w:rPr>
        <w:t>+</w:t>
      </w:r>
      <w:r w:rsidRPr="00BE5C22">
        <w:t xml:space="preserve"> je</w:t>
      </w:r>
      <w:r>
        <w:t xml:space="preserve"> proud pozitronů </w:t>
      </w:r>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w:r w:rsidR="00BF27C8">
        <w:t xml:space="preserve">. Příkladem je rozpad protonu </w:t>
      </w:r>
      <m:oMath>
        <m:sPre>
          <m:sPrePr>
            <m:ctrlPr>
              <w:rPr>
                <w:rFonts w:ascii="Cambria Math" w:hAnsi="Cambria Math"/>
                <w:i/>
              </w:rPr>
            </m:ctrlPr>
          </m:sPrePr>
          <m:sub>
            <m:r>
              <w:rPr>
                <w:rFonts w:ascii="Cambria Math"/>
              </w:rPr>
              <m:t>1</m:t>
            </m:r>
          </m:sub>
          <m:sup>
            <m:r>
              <w:rPr>
                <w:rFonts w:ascii="Cambria Math"/>
              </w:rPr>
              <m:t>1</m:t>
            </m:r>
          </m:sup>
          <m:e>
            <m:r>
              <w:rPr>
                <w:rFonts w:ascii="Cambria Math"/>
              </w:rPr>
              <m:t>p</m:t>
            </m:r>
          </m:e>
        </m:sPre>
        <m:r>
          <w:rPr>
            <w:rFonts w:ascii="Cambria Math"/>
          </w:rPr>
          <m:t>→</m:t>
        </m:r>
        <m:sPre>
          <m:sPrePr>
            <m:ctrlPr>
              <w:rPr>
                <w:rFonts w:ascii="Cambria Math" w:hAnsi="Cambria Math"/>
                <w:i/>
              </w:rPr>
            </m:ctrlPr>
          </m:sPrePr>
          <m:sub>
            <m:r>
              <w:rPr>
                <w:rFonts w:ascii="Cambria Math"/>
              </w:rPr>
              <m:t>0</m:t>
            </m:r>
          </m:sub>
          <m:sup>
            <m:r>
              <w:rPr>
                <w:rFonts w:ascii="Cambria Math"/>
              </w:rPr>
              <m:t>1</m:t>
            </m:r>
          </m:sup>
          <m:e>
            <m:r>
              <w:rPr>
                <w:rFonts w:ascii="Cambria Math"/>
              </w:rPr>
              <m:t>n</m:t>
            </m:r>
          </m:e>
        </m:sPre>
        <m:r>
          <w:rPr>
            <w:rFonts w:ascii="Cambria Math"/>
          </w:rPr>
          <m:t>+</m:t>
        </m:r>
        <m:sPre>
          <m:sPrePr>
            <m:ctrlPr>
              <w:rPr>
                <w:rFonts w:ascii="Cambria Math" w:hAnsi="Cambria Math"/>
                <w:i/>
              </w:rPr>
            </m:ctrlPr>
          </m:sPrePr>
          <m:sub>
            <m:r>
              <w:rPr>
                <w:rFonts w:ascii="Cambria Math"/>
              </w:rPr>
              <m:t>1</m:t>
            </m:r>
          </m:sub>
          <m:sup>
            <m:r>
              <w:rPr>
                <w:rFonts w:ascii="Cambria Math"/>
              </w:rPr>
              <m:t>0</m:t>
            </m:r>
          </m:sup>
          <m:e>
            <m:r>
              <w:rPr>
                <w:rFonts w:ascii="Cambria Math"/>
              </w:rPr>
              <m:t>e</m:t>
            </m:r>
          </m:e>
        </m:sPre>
        <m:r>
          <w:rPr>
            <w:rFonts w:ascii="Cambria Math"/>
          </w:rPr>
          <m:t>+</m:t>
        </m:r>
        <m:sSub>
          <m:sSubPr>
            <m:ctrlPr>
              <w:rPr>
                <w:rFonts w:ascii="Cambria Math" w:hAnsi="Cambria Math"/>
                <w:i/>
              </w:rPr>
            </m:ctrlPr>
          </m:sSubPr>
          <m:e>
            <m:r>
              <w:rPr>
                <w:rFonts w:ascii="Cambria Math"/>
              </w:rPr>
              <m:t>ν</m:t>
            </m:r>
          </m:e>
          <m:sub>
            <m:r>
              <w:rPr>
                <w:rFonts w:ascii="Cambria Math"/>
              </w:rPr>
              <m:t>e</m:t>
            </m:r>
          </m:sub>
        </m:sSub>
      </m:oMath>
      <w:r w:rsidR="00693904">
        <w:t>.</w:t>
      </w:r>
    </w:p>
    <w:p w14:paraId="7A551BAA" w14:textId="77777777" w:rsidR="008356BE" w:rsidRDefault="00704443" w:rsidP="00B23E6F">
      <w:r>
        <w:t>Záření gama γ je proud vysoce energetických fotonů nesoucích energii, kterou jádro uvolnilo při přechodu z excitovaného stavu do stavu s nižší energií.</w:t>
      </w:r>
    </w:p>
    <w:p w14:paraId="2E13504E" w14:textId="54740A0B" w:rsidR="00704443" w:rsidRDefault="00704443" w:rsidP="00E819DD">
      <w:r>
        <w:t xml:space="preserve">Neutronové záření je proud neutronů </w:t>
      </w:r>
      <m:oMath>
        <m:sPre>
          <m:sPrePr>
            <m:ctrlPr>
              <w:rPr>
                <w:rFonts w:ascii="Cambria Math" w:hAnsi="Cambria Math"/>
                <w:i/>
              </w:rPr>
            </m:ctrlPr>
          </m:sPrePr>
          <m:sub>
            <m:r>
              <w:rPr>
                <w:rFonts w:ascii="Cambria Math"/>
              </w:rPr>
              <m:t>0</m:t>
            </m:r>
          </m:sub>
          <m:sup>
            <m:r>
              <w:rPr>
                <w:rFonts w:ascii="Cambria Math"/>
              </w:rPr>
              <m:t>1</m:t>
            </m:r>
          </m:sup>
          <m:e>
            <m:r>
              <w:rPr>
                <w:rFonts w:ascii="Cambria Math"/>
              </w:rPr>
              <m:t>n</m:t>
            </m:r>
          </m:e>
        </m:sPre>
      </m:oMath>
      <w:r w:rsidR="00BF27C8">
        <w:t>. Objevuje se například u štěpných reakcí.</w:t>
      </w:r>
    </w:p>
    <w:p w14:paraId="35FC8A71" w14:textId="77777777" w:rsidR="00BF27C8" w:rsidRDefault="00BF27C8" w:rsidP="00B23E6F"/>
    <w:p w14:paraId="3457DD2E" w14:textId="77777777" w:rsidR="00BF27C8" w:rsidRDefault="00BF27C8" w:rsidP="00B23E6F">
      <w:r>
        <w:t xml:space="preserve">Záření α, β a γ jsou záření radioaktivní, doprovázejí samovolné přeměny jader. Neutronové záření a záření β+ nepatří mezi radioaktivní. Objevují se pouze u reakcí, které byly </w:t>
      </w:r>
      <w:r w:rsidR="00376E0E">
        <w:t xml:space="preserve">uměle </w:t>
      </w:r>
      <w:r>
        <w:t>vyvolány.</w:t>
      </w:r>
    </w:p>
    <w:p w14:paraId="29CCF62B" w14:textId="77777777" w:rsidR="00693904" w:rsidRDefault="00693904" w:rsidP="00B23E6F"/>
    <w:p w14:paraId="370C9BE6" w14:textId="77777777" w:rsidR="00693904" w:rsidRDefault="00693904" w:rsidP="00693904">
      <w:pPr>
        <w:pStyle w:val="Nadpis3"/>
      </w:pPr>
      <w:bookmarkStart w:id="16" w:name="_Toc211009957"/>
      <w:bookmarkStart w:id="17" w:name="_Hlk159220906"/>
      <w:r>
        <w:t>Časový průběh radioaktivní přeměny</w:t>
      </w:r>
      <w:bookmarkEnd w:id="16"/>
    </w:p>
    <w:p w14:paraId="79C59CF2" w14:textId="7E0C37C0" w:rsidR="00FB538D" w:rsidRDefault="00693904" w:rsidP="00E819DD">
      <w:r>
        <w:t xml:space="preserve">Radioaktivita je samovolný rozpad jader. Jádra původního izotopu se postupně mění v jiná jádra. </w:t>
      </w:r>
      <w:r w:rsidR="00DC2148">
        <w:t xml:space="preserve">Příkladem je reakce </w:t>
      </w:r>
      <m:oMath>
        <m:sPre>
          <m:sPrePr>
            <m:ctrlPr>
              <w:rPr>
                <w:rFonts w:ascii="Cambria Math" w:hAnsi="Cambria Math"/>
                <w:i/>
              </w:rPr>
            </m:ctrlPr>
          </m:sPrePr>
          <m:sub>
            <m:r>
              <w:rPr>
                <w:rFonts w:ascii="Cambria Math" w:hAnsi="Cambria Math"/>
              </w:rPr>
              <m:t>88</m:t>
            </m:r>
          </m:sub>
          <m:sup>
            <m:r>
              <w:rPr>
                <w:rFonts w:ascii="Cambria Math" w:hAnsi="Cambria Math"/>
              </w:rPr>
              <m:t>226</m:t>
            </m:r>
          </m:sup>
          <m:e>
            <m:r>
              <w:rPr>
                <w:rFonts w:ascii="Cambria Math" w:hAnsi="Cambria Math"/>
              </w:rPr>
              <m:t>R</m:t>
            </m:r>
          </m:e>
        </m:sPre>
        <m:r>
          <w:rPr>
            <w:rFonts w:ascii="Cambria Math" w:hAnsi="Cambria Math"/>
          </w:rPr>
          <m:t>a→</m:t>
        </m:r>
        <m:sPre>
          <m:sPrePr>
            <m:ctrlPr>
              <w:rPr>
                <w:rFonts w:ascii="Cambria Math" w:hAnsi="Cambria Math"/>
                <w:i/>
              </w:rPr>
            </m:ctrlPr>
          </m:sPrePr>
          <m:sub>
            <m:r>
              <w:rPr>
                <w:rFonts w:ascii="Cambria Math" w:hAnsi="Cambria Math"/>
              </w:rPr>
              <m:t>86</m:t>
            </m:r>
          </m:sub>
          <m:sup>
            <m:r>
              <w:rPr>
                <w:rFonts w:ascii="Cambria Math" w:hAnsi="Cambria Math"/>
              </w:rPr>
              <m:t>222</m:t>
            </m:r>
          </m:sup>
          <m:e>
            <m:r>
              <w:rPr>
                <w:rFonts w:ascii="Cambria Math" w:hAnsi="Cambria Math"/>
              </w:rPr>
              <m:t>R</m:t>
            </m:r>
          </m:e>
        </m:sPre>
        <m:r>
          <w:rPr>
            <w:rFonts w:ascii="Cambria Math" w:hAnsi="Cambria Math"/>
          </w:rPr>
          <m:t>n+</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m:t>
            </m:r>
          </m:e>
        </m:sPre>
        <m:r>
          <w:rPr>
            <w:rFonts w:ascii="Cambria Math" w:hAnsi="Cambria Math"/>
          </w:rPr>
          <m:t>e</m:t>
        </m:r>
      </m:oMath>
      <w:r w:rsidR="00DC2148">
        <w:t xml:space="preserve">. </w:t>
      </w:r>
      <w:r>
        <w:t xml:space="preserve">Za čas, který se nazývá poločas </w:t>
      </w:r>
      <w:r w:rsidR="00D4205E">
        <w:t>přeměny</w:t>
      </w:r>
      <w:r w:rsidR="00DC2148">
        <w:t xml:space="preserve"> a značí se </w:t>
      </w:r>
      <w:r w:rsidR="00DC2148" w:rsidRPr="00376E0E">
        <w:rPr>
          <w:i/>
        </w:rPr>
        <w:t>T</w:t>
      </w:r>
      <w:r w:rsidR="00DC2148">
        <w:t xml:space="preserve">, se přemění právě polovina jader. Tento proces může být popsán vztahem </w:t>
      </w:r>
      <m:oMath>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f>
              <m:fPr>
                <m:ctrlPr>
                  <w:rPr>
                    <w:rFonts w:ascii="Cambria Math" w:hAnsi="Cambria Math"/>
                    <w:i/>
                  </w:rPr>
                </m:ctrlPr>
              </m:fPr>
              <m:num>
                <m:r>
                  <w:rPr>
                    <w:rFonts w:ascii="Cambria Math" w:hAnsi="Cambria Math"/>
                  </w:rPr>
                  <m:t>t</m:t>
                </m:r>
              </m:num>
              <m:den>
                <m:r>
                  <w:rPr>
                    <w:rFonts w:ascii="Cambria Math" w:hAnsi="Cambria Math"/>
                  </w:rPr>
                  <m:t>T</m:t>
                </m:r>
              </m:den>
            </m:f>
          </m:sup>
        </m:sSup>
      </m:oMath>
      <w:r w:rsidR="00DC2148">
        <w:t xml:space="preserve"> nebo </w:t>
      </w:r>
      <m:oMath>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-λt</m:t>
            </m:r>
          </m:sup>
        </m:sSup>
      </m:oMath>
      <w:r w:rsidR="00DC2148">
        <w:t xml:space="preserve">. V těchto vztazích značí </w:t>
      </w:r>
      <w:r w:rsidR="00DC2148" w:rsidRPr="00DC2148">
        <w:rPr>
          <w:i/>
        </w:rPr>
        <w:t>N</w:t>
      </w:r>
      <w:r w:rsidR="00DC2148" w:rsidRPr="00DC2148">
        <w:rPr>
          <w:i/>
          <w:vertAlign w:val="subscript"/>
        </w:rPr>
        <w:t>0</w:t>
      </w:r>
      <w:r w:rsidR="00DC2148">
        <w:t xml:space="preserve"> počet původních jader, </w:t>
      </w:r>
      <w:r w:rsidR="00DC2148" w:rsidRPr="00DC2148">
        <w:rPr>
          <w:i/>
        </w:rPr>
        <w:t>N</w:t>
      </w:r>
      <w:r w:rsidR="00DC2148">
        <w:t xml:space="preserve"> počet jader v čase </w:t>
      </w:r>
      <w:r w:rsidR="00DC2148" w:rsidRPr="00DC2148">
        <w:rPr>
          <w:i/>
        </w:rPr>
        <w:t>t</w:t>
      </w:r>
      <w:r w:rsidR="00DC2148">
        <w:t xml:space="preserve">, </w:t>
      </w:r>
      <w:r w:rsidR="00DC2148" w:rsidRPr="00DC2148">
        <w:rPr>
          <w:i/>
        </w:rPr>
        <w:t>T</w:t>
      </w:r>
      <w:r w:rsidR="00DC2148">
        <w:t xml:space="preserve"> je poločas </w:t>
      </w:r>
      <w:r w:rsidR="00D4205E">
        <w:t>přeměny</w:t>
      </w:r>
      <w:r w:rsidR="00DC2148">
        <w:t xml:space="preserve"> a </w:t>
      </w:r>
      <w:r w:rsidR="00DC2148" w:rsidRPr="00DC2148">
        <w:rPr>
          <w:i/>
        </w:rPr>
        <w:t>λ</w:t>
      </w:r>
      <w:r w:rsidR="00DC2148">
        <w:t xml:space="preserve"> je </w:t>
      </w:r>
      <w:r w:rsidR="00D4205E">
        <w:t>přeměnová</w:t>
      </w:r>
      <w:r w:rsidR="00DC2148">
        <w:t xml:space="preserve"> konstanta. Snadno se dá dokázat vztah mezi poločasem </w:t>
      </w:r>
      <w:r w:rsidR="00D4205E">
        <w:t>přeměny</w:t>
      </w:r>
      <w:r w:rsidR="00DC2148">
        <w:t xml:space="preserve"> </w:t>
      </w:r>
      <w:r w:rsidR="00DC2148" w:rsidRPr="00FB538D">
        <w:rPr>
          <w:i/>
        </w:rPr>
        <w:t>T</w:t>
      </w:r>
      <w:r w:rsidR="00DC2148">
        <w:t xml:space="preserve"> a </w:t>
      </w:r>
      <w:r w:rsidR="00D4205E">
        <w:t>přeměnovou</w:t>
      </w:r>
      <w:r w:rsidR="00DC2148">
        <w:t xml:space="preserve"> konstantou </w:t>
      </w:r>
      <w:r w:rsidR="00DC2148" w:rsidRPr="00FB538D">
        <w:rPr>
          <w:i/>
        </w:rPr>
        <w:t>λ</w:t>
      </w:r>
      <w:r w:rsidR="00DC2148">
        <w:t xml:space="preserve"> ve tvaru </w:t>
      </w:r>
      <m:oMath>
        <m:r>
          <w:rPr>
            <w:rFonts w:ascii="Cambria Math" w:hAnsi="Cambria Math"/>
          </w:rPr>
          <m:t>λ=</m:t>
        </m:r>
        <m:f>
          <m:fPr>
            <m:ctrlPr>
              <w:rPr>
                <w:rFonts w:ascii="Cambria Math" w:hAnsi="Cambria Math"/>
                <w:i/>
              </w:rPr>
            </m:ctrlPr>
          </m:fPr>
          <m:num>
            <m:func>
              <m:funcPr>
                <m:ctrlPr>
                  <w:rPr>
                    <w:rFonts w:ascii="Cambria Math" w:hAnsi="Cambria Math"/>
                    <w:i/>
                  </w:rPr>
                </m:ctrlPr>
              </m:funcPr>
              <m:fName>
                <m:r>
                  <w:rPr>
                    <w:rFonts w:ascii="Cambria Math" w:hAnsi="Cambria Math"/>
                  </w:rPr>
                  <m:t>ln</m:t>
                </m:r>
              </m:fName>
              <m:e>
                <m:r>
                  <w:rPr>
                    <w:rFonts w:ascii="Cambria Math" w:hAnsi="Cambria Math"/>
                  </w:rPr>
                  <m:t>2</m:t>
                </m:r>
              </m:e>
            </m:func>
          </m:num>
          <m:den>
            <m:r>
              <w:rPr>
                <w:rFonts w:ascii="Cambria Math" w:hAnsi="Cambria Math"/>
              </w:rPr>
              <m:t>T</m:t>
            </m:r>
          </m:den>
        </m:f>
      </m:oMath>
      <w:r w:rsidR="00FB538D">
        <w:t>. Protože počet je přímo</w:t>
      </w:r>
      <w:r w:rsidR="004E5A57">
        <w:t xml:space="preserve"> </w:t>
      </w:r>
      <w:r w:rsidR="00FB538D">
        <w:t xml:space="preserve">úměrný jejich hmotnosti lze uvedené vztahy přepsat i pro hmotnost ve tvaru </w:t>
      </w:r>
      <w:r w:rsidR="00FE2E99">
        <w:br/>
      </w:r>
      <m:oMath>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f>
              <m:fPr>
                <m:ctrlPr>
                  <w:rPr>
                    <w:rFonts w:ascii="Cambria Math" w:hAnsi="Cambria Math"/>
                    <w:i/>
                  </w:rPr>
                </m:ctrlPr>
              </m:fPr>
              <m:num>
                <m:r>
                  <w:rPr>
                    <w:rFonts w:ascii="Cambria Math" w:hAnsi="Cambria Math"/>
                  </w:rPr>
                  <m:t>t</m:t>
                </m:r>
              </m:num>
              <m:den>
                <m:r>
                  <w:rPr>
                    <w:rFonts w:ascii="Cambria Math" w:hAnsi="Cambria Math"/>
                  </w:rPr>
                  <m:t>T</m:t>
                </m:r>
              </m:den>
            </m:f>
          </m:sup>
        </m:sSup>
      </m:oMath>
      <w:r w:rsidR="00FB538D">
        <w:t xml:space="preserve"> respektive </w:t>
      </w:r>
      <m:oMath>
        <m:r>
          <w:rPr>
            <w:rFonts w:ascii="Cambria Math"/>
          </w:rPr>
          <m:t>m=</m:t>
        </m:r>
        <m:sSub>
          <m:sSubPr>
            <m:ctrlPr>
              <w:rPr>
                <w:rFonts w:ascii="Cambria Math" w:hAnsi="Cambria Math"/>
                <w:i/>
              </w:rPr>
            </m:ctrlPr>
          </m:sSubPr>
          <m:e>
            <m:r>
              <w:rPr>
                <w:rFonts w:ascii="Cambria Math"/>
              </w:rPr>
              <m:t>m</m:t>
            </m:r>
          </m:e>
          <m:sub>
            <m:r>
              <w:rPr>
                <w:rFonts w:ascii="Cambria Math"/>
              </w:rPr>
              <m:t>0</m:t>
            </m:r>
          </m:sub>
        </m:sSub>
        <m:sSup>
          <m:sSupPr>
            <m:ctrlPr>
              <w:rPr>
                <w:rFonts w:ascii="Cambria Math" w:hAnsi="Cambria Math"/>
                <w:i/>
              </w:rPr>
            </m:ctrlPr>
          </m:sSupPr>
          <m:e>
            <m:r>
              <w:rPr>
                <w:rFonts w:ascii="Cambria Math"/>
              </w:rPr>
              <m:t>e</m:t>
            </m:r>
          </m:e>
          <m:sup>
            <m:r>
              <w:rPr>
                <w:rFonts w:ascii="Cambria Math"/>
              </w:rPr>
              <m:t>-</m:t>
            </m:r>
            <m:r>
              <w:rPr>
                <w:rFonts w:ascii="Cambria Math"/>
              </w:rPr>
              <m:t>λt</m:t>
            </m:r>
          </m:sup>
        </m:sSup>
      </m:oMath>
      <w:r w:rsidR="00FB538D">
        <w:t xml:space="preserve">. Zde je </w:t>
      </w:r>
      <w:r w:rsidR="00FB538D" w:rsidRPr="00FB538D">
        <w:rPr>
          <w:i/>
        </w:rPr>
        <w:t>m</w:t>
      </w:r>
      <w:r w:rsidR="00FB538D" w:rsidRPr="00FB538D">
        <w:rPr>
          <w:i/>
          <w:vertAlign w:val="subscript"/>
        </w:rPr>
        <w:t>0</w:t>
      </w:r>
      <w:r w:rsidR="00FB538D">
        <w:t xml:space="preserve"> původní hmotnost jader a </w:t>
      </w:r>
      <w:r w:rsidR="00FB538D" w:rsidRPr="00FB538D">
        <w:rPr>
          <w:i/>
        </w:rPr>
        <w:t>m</w:t>
      </w:r>
      <w:r w:rsidR="00FB538D">
        <w:t xml:space="preserve"> hmotnost jader v čase </w:t>
      </w:r>
      <w:r w:rsidR="00FB538D" w:rsidRPr="00FB538D">
        <w:rPr>
          <w:i/>
        </w:rPr>
        <w:t>t</w:t>
      </w:r>
      <w:r w:rsidR="00FB538D">
        <w:t xml:space="preserve">. </w:t>
      </w:r>
    </w:p>
    <w:p w14:paraId="2D22DA50" w14:textId="77777777" w:rsidR="004432A5" w:rsidRDefault="004432A5" w:rsidP="00693904"/>
    <w:p w14:paraId="2D1E0635" w14:textId="77777777" w:rsidR="004432A5" w:rsidRPr="004432A5" w:rsidRDefault="004432A5" w:rsidP="00693904">
      <w:pPr>
        <w:rPr>
          <w:b/>
        </w:rPr>
      </w:pPr>
      <w:bookmarkStart w:id="18" w:name="_Hlk159221298"/>
      <w:r w:rsidRPr="004432A5">
        <w:rPr>
          <w:b/>
        </w:rPr>
        <w:t>Úlohy</w:t>
      </w:r>
    </w:p>
    <w:p w14:paraId="73E0DC3E" w14:textId="77777777" w:rsidR="004432A5" w:rsidRDefault="004432A5" w:rsidP="00693904"/>
    <w:p w14:paraId="146E312F" w14:textId="314079A1" w:rsidR="004432A5" w:rsidRDefault="004432A5" w:rsidP="00E819DD">
      <w:pPr>
        <w:numPr>
          <w:ilvl w:val="0"/>
          <w:numId w:val="10"/>
        </w:numPr>
      </w:pPr>
      <w:bookmarkStart w:id="19" w:name="_Toc211009958"/>
      <w:r>
        <w:t xml:space="preserve">Polonium </w:t>
      </w:r>
      <m:oMath>
        <m:sPre>
          <m:sPrePr>
            <m:ctrlPr>
              <w:rPr>
                <w:rFonts w:ascii="Cambria Math" w:hAnsi="Cambria Math"/>
              </w:rPr>
            </m:ctrlPr>
          </m:sPrePr>
          <m:sub>
            <m:r>
              <m:rPr>
                <m:nor/>
              </m:rPr>
              <w:rPr>
                <w:rFonts w:ascii="Cambria Math" w:hAnsi="Cambria Math"/>
              </w:rPr>
              <m:t>84</m:t>
            </m:r>
          </m:sub>
          <m:sup>
            <m:r>
              <m:rPr>
                <m:nor/>
              </m:rPr>
              <w:rPr>
                <w:rFonts w:ascii="Cambria Math" w:hAnsi="Cambria Math"/>
              </w:rPr>
              <m:t>210</m:t>
            </m:r>
          </m:sup>
          <m:e>
            <m:r>
              <m:rPr>
                <m:nor/>
              </m:rPr>
              <w:rPr>
                <w:rFonts w:ascii="Cambria Math" w:hAnsi="Cambria Math"/>
              </w:rPr>
              <m:t>Po</m:t>
            </m:r>
          </m:e>
        </m:sPre>
      </m:oMath>
      <w:r w:rsidR="00D4205E">
        <w:t xml:space="preserve"> </w:t>
      </w:r>
      <w:r>
        <w:t xml:space="preserve">se rozpadá α rozpadem na olovo </w:t>
      </w:r>
      <m:oMath>
        <m:sPre>
          <m:sPrePr>
            <m:ctrlPr>
              <w:rPr>
                <w:rFonts w:ascii="Cambria Math" w:hAnsi="Cambria Math"/>
              </w:rPr>
            </m:ctrlPr>
          </m:sPrePr>
          <m:sub>
            <m:r>
              <m:rPr>
                <m:nor/>
              </m:rPr>
              <w:rPr>
                <w:rFonts w:ascii="Cambria Math"/>
              </w:rPr>
              <m:t>82</m:t>
            </m:r>
          </m:sub>
          <m:sup>
            <m:r>
              <m:rPr>
                <m:nor/>
              </m:rPr>
              <w:rPr>
                <w:rFonts w:ascii="Cambria Math"/>
              </w:rPr>
              <m:t>206</m:t>
            </m:r>
          </m:sup>
          <m:e>
            <m:r>
              <m:rPr>
                <m:nor/>
              </m:rPr>
              <w:rPr>
                <w:rFonts w:ascii="Cambria Math"/>
              </w:rPr>
              <m:t>Pb</m:t>
            </m:r>
          </m:e>
        </m:sPre>
      </m:oMath>
      <w:r w:rsidR="00D4205E">
        <w:t xml:space="preserve"> </w:t>
      </w:r>
      <w:r>
        <w:t xml:space="preserve">s poločasem </w:t>
      </w:r>
      <w:r w:rsidR="00D4205E">
        <w:t>přeměny</w:t>
      </w:r>
      <w:r>
        <w:t xml:space="preserve"> 139 dní. Jaká část jeho jader se </w:t>
      </w:r>
      <w:r w:rsidR="00D4205E">
        <w:t>přemění</w:t>
      </w:r>
      <w:r>
        <w:t xml:space="preserve"> za 50 dní?</w:t>
      </w:r>
      <w:r>
        <w:br/>
      </w:r>
      <w:r>
        <w:br/>
        <w:t xml:space="preserve">Výsledek: </w:t>
      </w:r>
      <w:r w:rsidRPr="00666CE4">
        <w:rPr>
          <w:color w:val="FFFFFF"/>
        </w:rPr>
        <w:t>Rozpadne se 22% jader (78% zůstane)</w:t>
      </w:r>
      <w:r>
        <w:rPr>
          <w:color w:val="FFFFFF"/>
        </w:rPr>
        <w:br/>
      </w:r>
    </w:p>
    <w:p w14:paraId="626198E3" w14:textId="677EEB7B" w:rsidR="004432A5" w:rsidRPr="00D9679A" w:rsidRDefault="004432A5" w:rsidP="00E819DD">
      <w:pPr>
        <w:numPr>
          <w:ilvl w:val="0"/>
          <w:numId w:val="10"/>
        </w:numPr>
      </w:pPr>
      <w:r>
        <w:t xml:space="preserve">Izotop </w:t>
      </w:r>
      <m:oMath>
        <m:sPre>
          <m:sPrePr>
            <m:ctrlPr>
              <w:rPr>
                <w:rFonts w:ascii="Cambria Math" w:hAnsi="Cambria Math"/>
              </w:rPr>
            </m:ctrlPr>
          </m:sPrePr>
          <m:sub>
            <m:r>
              <m:rPr>
                <m:nor/>
              </m:rPr>
              <w:rPr>
                <w:rFonts w:ascii="Cambria Math"/>
              </w:rPr>
              <m:t>88</m:t>
            </m:r>
          </m:sub>
          <m:sup>
            <m:r>
              <m:rPr>
                <m:nor/>
              </m:rPr>
              <w:rPr>
                <w:rFonts w:ascii="Cambria Math"/>
              </w:rPr>
              <m:t>228</m:t>
            </m:r>
          </m:sup>
          <m:e>
            <m:r>
              <m:rPr>
                <m:nor/>
              </m:rPr>
              <w:rPr>
                <w:rFonts w:ascii="Cambria Math"/>
              </w:rPr>
              <m:t>Ra</m:t>
            </m:r>
          </m:e>
        </m:sPre>
      </m:oMath>
      <w:r>
        <w:t xml:space="preserve"> má poločas </w:t>
      </w:r>
      <w:r w:rsidR="00D4205E">
        <w:t>přeměny</w:t>
      </w:r>
      <w:r>
        <w:t xml:space="preserve"> 6,7 let. Jak dlouho trvá, než se rozpadne 99</w:t>
      </w:r>
      <w:r w:rsidR="00B20B2A">
        <w:t xml:space="preserve"> </w:t>
      </w:r>
      <w:r>
        <w:t>% jeho jader?</w:t>
      </w:r>
      <w:r w:rsidRPr="00257C0A">
        <w:t xml:space="preserve"> </w:t>
      </w:r>
      <w:r>
        <w:br/>
      </w:r>
      <w:r>
        <w:br/>
        <w:t xml:space="preserve">Výsledek: </w:t>
      </w:r>
      <w:r w:rsidRPr="00666CE4">
        <w:rPr>
          <w:color w:val="FFFFFF"/>
        </w:rPr>
        <w:t>44,5 roku</w:t>
      </w:r>
    </w:p>
    <w:p w14:paraId="55331AE0" w14:textId="77777777" w:rsidR="004432A5" w:rsidRDefault="004432A5" w:rsidP="004432A5"/>
    <w:p w14:paraId="249AD81F" w14:textId="0D9CF14E" w:rsidR="004432A5" w:rsidRDefault="004432A5" w:rsidP="00E819DD">
      <w:pPr>
        <w:numPr>
          <w:ilvl w:val="0"/>
          <w:numId w:val="10"/>
        </w:numPr>
      </w:pPr>
      <w:r>
        <w:t xml:space="preserve">Bylo zjištěno, že z původního množství izotopu </w:t>
      </w:r>
      <m:oMath>
        <m:sPre>
          <m:sPrePr>
            <m:ctrlPr>
              <w:rPr>
                <w:rFonts w:ascii="Cambria Math" w:hAnsi="Cambria Math"/>
              </w:rPr>
            </m:ctrlPr>
          </m:sPrePr>
          <m:sub>
            <m:r>
              <m:rPr>
                <m:nor/>
              </m:rPr>
              <w:rPr>
                <w:rFonts w:ascii="Cambria Math"/>
              </w:rPr>
              <m:t>88</m:t>
            </m:r>
          </m:sub>
          <m:sup>
            <m:r>
              <m:rPr>
                <m:nor/>
              </m:rPr>
              <w:rPr>
                <w:rFonts w:ascii="Cambria Math"/>
              </w:rPr>
              <m:t>224</m:t>
            </m:r>
          </m:sup>
          <m:e>
            <m:r>
              <m:rPr>
                <m:nor/>
              </m:rPr>
              <w:rPr>
                <w:rFonts w:ascii="Cambria Math"/>
              </w:rPr>
              <m:t>Ra</m:t>
            </m:r>
          </m:e>
        </m:sPre>
      </m:oMath>
      <w:r w:rsidR="00D4205E">
        <w:t xml:space="preserve"> </w:t>
      </w:r>
      <w:r>
        <w:t>se za 24 hodin rozpadlo 17</w:t>
      </w:r>
      <w:r w:rsidR="00B20B2A">
        <w:t xml:space="preserve"> </w:t>
      </w:r>
      <w:r>
        <w:t xml:space="preserve">% jader. Určete poločas </w:t>
      </w:r>
      <w:r w:rsidR="00D4205E">
        <w:t>přeměny</w:t>
      </w:r>
      <w:r>
        <w:t>.</w:t>
      </w:r>
      <w:r w:rsidRPr="00257C0A">
        <w:t xml:space="preserve"> </w:t>
      </w:r>
      <w:r>
        <w:br/>
      </w:r>
      <w:r>
        <w:br/>
        <w:t xml:space="preserve">Výsledek: </w:t>
      </w:r>
      <w:r w:rsidRPr="00666CE4">
        <w:rPr>
          <w:color w:val="FFFFFF"/>
        </w:rPr>
        <w:t>3,72 dne = 89,3 hodiny</w:t>
      </w:r>
    </w:p>
    <w:bookmarkEnd w:id="18"/>
    <w:p w14:paraId="6361E172" w14:textId="77777777" w:rsidR="00FB538D" w:rsidRDefault="00FB538D" w:rsidP="00FB538D">
      <w:pPr>
        <w:pStyle w:val="Nadpis3"/>
      </w:pPr>
      <w:r>
        <w:t>Aktivita zářiče</w:t>
      </w:r>
      <w:bookmarkEnd w:id="19"/>
    </w:p>
    <w:p w14:paraId="3D12B77E" w14:textId="1C005F16" w:rsidR="00FB538D" w:rsidRPr="00FB538D" w:rsidRDefault="005A7545" w:rsidP="00E819DD">
      <w:r>
        <w:t xml:space="preserve">Aktivita zářiče </w:t>
      </w:r>
      <w:r w:rsidRPr="00376E0E">
        <w:rPr>
          <w:i/>
        </w:rPr>
        <w:t>A</w:t>
      </w:r>
      <w:r>
        <w:t xml:space="preserve"> je počet jader přeměněných za jednotkový čas. Základní jednotkou aktivity je </w:t>
      </w:r>
      <w:r w:rsidR="00BE5C22" w:rsidRPr="00BE5C22">
        <w:t>b</w:t>
      </w:r>
      <w:r w:rsidRPr="00BE5C22">
        <w:t xml:space="preserve">ecquerel, značka Bq (1 přeměna za sekundu). Aktivita radioaktivních látek je přímo úměrná </w:t>
      </w:r>
      <w:r w:rsidR="00D4205E">
        <w:t>přeměnové</w:t>
      </w:r>
      <w:r w:rsidRPr="00BE5C22">
        <w:t xml:space="preserve"> konstantě</w:t>
      </w:r>
      <w:r>
        <w:t xml:space="preserve"> </w:t>
      </w:r>
      <w:r w:rsidRPr="005A7545">
        <w:rPr>
          <w:i/>
        </w:rPr>
        <w:t>λ</w:t>
      </w:r>
      <w:r>
        <w:t xml:space="preserve"> a počtu jader </w:t>
      </w:r>
      <w:r w:rsidRPr="005A7545">
        <w:rPr>
          <w:i/>
        </w:rPr>
        <w:t>N</w:t>
      </w:r>
      <w:r w:rsidR="004432A5">
        <w:rPr>
          <w:i/>
        </w:rPr>
        <w:t>.</w:t>
      </w:r>
      <w:r w:rsidR="004432A5">
        <w:t xml:space="preserve"> Platí </w:t>
      </w:r>
      <m:oMath>
        <m:r>
          <w:rPr>
            <w:rFonts w:ascii="Cambria Math"/>
          </w:rPr>
          <m:t>A= λ</m:t>
        </m:r>
        <m:r>
          <w:rPr>
            <w:rFonts w:ascii="Cambria Math" w:hAnsi="Cambria Math" w:cs="Cambria Math"/>
          </w:rPr>
          <m:t>⋅</m:t>
        </m:r>
        <m:r>
          <w:rPr>
            <w:rFonts w:ascii="Cambria Math"/>
          </w:rPr>
          <m:t>N</m:t>
        </m:r>
      </m:oMath>
      <w:r>
        <w:t xml:space="preserve">. Tento vztah lze odvodit ze vztahu pro časový průběh radioaktivní přeměny derivováním. </w:t>
      </w:r>
    </w:p>
    <w:p w14:paraId="121637E4" w14:textId="77777777" w:rsidR="00FB538D" w:rsidRDefault="00FB538D" w:rsidP="00FB538D">
      <w:pPr>
        <w:pStyle w:val="Nadpis3"/>
      </w:pPr>
      <w:bookmarkStart w:id="20" w:name="_Toc211009959"/>
      <w:bookmarkEnd w:id="17"/>
      <w:r>
        <w:t>Užití radioaktivních látek</w:t>
      </w:r>
      <w:bookmarkEnd w:id="20"/>
    </w:p>
    <w:p w14:paraId="796AD481" w14:textId="77777777" w:rsidR="00FB538D" w:rsidRDefault="00FB538D" w:rsidP="00693904">
      <w:r>
        <w:t>Radioaktivní látky nacházejí použití v celé řadě oblastí. Příkladem je medicína (ozařování nádorů), průmysl (defektoskopie), přírodní vědy (značené prvky ve výzkumu koloběhu látek), restaurátorství (ničení škůdců), archeologie (určování stáří předmětů).</w:t>
      </w:r>
    </w:p>
    <w:p w14:paraId="12675F4A" w14:textId="77777777" w:rsidR="005A7545" w:rsidRDefault="005A7545" w:rsidP="00693904"/>
    <w:p w14:paraId="22BF4844" w14:textId="04EA0BE7" w:rsidR="005A7545" w:rsidRDefault="005A7545" w:rsidP="00E819DD">
      <w:r>
        <w:lastRenderedPageBreak/>
        <w:t xml:space="preserve">Příklad: Při studiu starověkého dřevěného předmětu se zjistilo, že specifická radioaktivita izotopu </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oMath>
      <w:r>
        <w:t xml:space="preserve">představuje tři pětiny hodnoty obvyklé u čerstvě pokáceného dřeva. </w:t>
      </w:r>
      <w:r w:rsidR="00376E0E">
        <w:t>Poločas rozpadu</w:t>
      </w:r>
      <w:r w:rsidR="00376E0E" w:rsidRPr="00B20B2A">
        <w:t xml:space="preserve"> </w:t>
      </w:r>
      <m:oMath>
        <m:sPre>
          <m:sPrePr>
            <m:ctrlPr>
              <w:rPr>
                <w:rFonts w:ascii="Cambria Math" w:hAnsi="Cambria Math"/>
                <w:i/>
              </w:rPr>
            </m:ctrlPr>
          </m:sPrePr>
          <m:sub>
            <m:r>
              <w:rPr>
                <w:rFonts w:ascii="Cambria Math"/>
              </w:rPr>
              <m:t>6</m:t>
            </m:r>
          </m:sub>
          <m:sup>
            <m:r>
              <w:rPr>
                <w:rFonts w:ascii="Cambria Math"/>
              </w:rPr>
              <m:t>14</m:t>
            </m:r>
          </m:sup>
          <m:e>
            <m:r>
              <w:rPr>
                <w:rFonts w:ascii="Cambria Math"/>
              </w:rPr>
              <m:t>C</m:t>
            </m:r>
          </m:e>
        </m:sPre>
      </m:oMath>
      <w:r w:rsidR="00376E0E">
        <w:t xml:space="preserve"> je 5</w:t>
      </w:r>
      <w:r w:rsidR="00F6078B">
        <w:t>730</w:t>
      </w:r>
      <w:r w:rsidR="00376E0E">
        <w:t xml:space="preserve">let. </w:t>
      </w:r>
      <w:r>
        <w:t xml:space="preserve">Určete stáří </w:t>
      </w:r>
      <w:r w:rsidRPr="00BE5C22">
        <w:t>předmětu</w:t>
      </w:r>
      <w:r w:rsidR="00BE5C22" w:rsidRPr="00BE5C22">
        <w:t>.</w:t>
      </w:r>
      <w:r w:rsidRPr="00BE5C22">
        <w:t xml:space="preserve"> [</w:t>
      </w:r>
      <w:r w:rsidR="00BE5C22" w:rsidRPr="00BE5C22">
        <w:t>O</w:t>
      </w:r>
      <w:r w:rsidR="00376E0E" w:rsidRPr="00BE5C22">
        <w:t>dpověď</w:t>
      </w:r>
      <w:r w:rsidR="00BE5C22" w:rsidRPr="00BE5C22">
        <w:t xml:space="preserve">: Předmět je starý cca </w:t>
      </w:r>
      <w:r w:rsidR="00376E0E" w:rsidRPr="00BE5C22">
        <w:t>4</w:t>
      </w:r>
      <w:r w:rsidR="00F6078B">
        <w:t>223</w:t>
      </w:r>
      <w:r w:rsidR="00BE5C22" w:rsidRPr="00BE5C22">
        <w:t xml:space="preserve"> </w:t>
      </w:r>
      <w:r w:rsidRPr="00BE5C22">
        <w:t>let].</w:t>
      </w:r>
    </w:p>
    <w:p w14:paraId="1F441CE4" w14:textId="77777777" w:rsidR="004E224C" w:rsidRDefault="000E447E" w:rsidP="004E224C">
      <w:pPr>
        <w:pStyle w:val="Nadpis3"/>
      </w:pPr>
      <w:bookmarkStart w:id="21" w:name="_Toc211009960"/>
      <w:r>
        <w:t>Veličiny a jednotky pro měření radioaktivity</w:t>
      </w:r>
      <w:bookmarkEnd w:id="21"/>
    </w:p>
    <w:p w14:paraId="1315158C" w14:textId="77777777" w:rsidR="000E447E" w:rsidRPr="00BE5C22" w:rsidRDefault="000E447E" w:rsidP="00693904">
      <w:r w:rsidRPr="00BE5C22">
        <w:t xml:space="preserve">Aktivita </w:t>
      </w:r>
      <w:r w:rsidRPr="00BE5C22">
        <w:rPr>
          <w:i/>
        </w:rPr>
        <w:t>A</w:t>
      </w:r>
      <w:r w:rsidRPr="00BE5C22">
        <w:tab/>
        <w:t xml:space="preserve">becquerel </w:t>
      </w:r>
      <w:r w:rsidRPr="00BE5C22">
        <w:tab/>
        <w:t>Bq – 1 přeměna za 1 sekundu</w:t>
      </w:r>
    </w:p>
    <w:p w14:paraId="2AE8509C" w14:textId="77777777" w:rsidR="000E447E" w:rsidRPr="00BE5C22" w:rsidRDefault="000E447E" w:rsidP="00693904">
      <w:r w:rsidRPr="00BE5C22">
        <w:tab/>
      </w:r>
      <w:r w:rsidRPr="00BE5C22">
        <w:tab/>
        <w:t>curie</w:t>
      </w:r>
      <w:r w:rsidRPr="00BE5C22">
        <w:tab/>
      </w:r>
      <w:r w:rsidRPr="00BE5C22">
        <w:tab/>
        <w:t>C</w:t>
      </w:r>
      <w:r w:rsidR="00BE5C22" w:rsidRPr="00BE5C22">
        <w:t>i</w:t>
      </w:r>
      <w:r w:rsidRPr="00BE5C22">
        <w:t>= 3,7.10</w:t>
      </w:r>
      <w:r w:rsidRPr="00BE5C22">
        <w:rPr>
          <w:vertAlign w:val="superscript"/>
        </w:rPr>
        <w:t>10</w:t>
      </w:r>
      <w:r w:rsidRPr="00BE5C22">
        <w:t xml:space="preserve"> Bq</w:t>
      </w:r>
    </w:p>
    <w:p w14:paraId="2D6945B8" w14:textId="77777777" w:rsidR="000E447E" w:rsidRDefault="000E447E" w:rsidP="000E447E">
      <w:pPr>
        <w:ind w:left="708" w:firstLine="708"/>
      </w:pPr>
      <w:r w:rsidRPr="00BE5C22">
        <w:t>(norma pro radon 200Bq/m</w:t>
      </w:r>
      <w:r w:rsidRPr="00BE5C22">
        <w:rPr>
          <w:vertAlign w:val="superscript"/>
        </w:rPr>
        <w:t>3</w:t>
      </w:r>
      <w:r w:rsidRPr="00BE5C22">
        <w:t>)</w:t>
      </w:r>
    </w:p>
    <w:p w14:paraId="3AA45D8A" w14:textId="77777777" w:rsidR="004E224C" w:rsidRDefault="004E224C" w:rsidP="000E447E"/>
    <w:p w14:paraId="4EA54BBA" w14:textId="77777777" w:rsidR="000E447E" w:rsidRDefault="000E447E" w:rsidP="000E447E">
      <w:r>
        <w:t>Absorbovaná energie – gray Gy – Gy = 1J energie v 1kg látky</w:t>
      </w:r>
    </w:p>
    <w:p w14:paraId="3656FB2F" w14:textId="77777777" w:rsidR="004E224C" w:rsidRDefault="004E224C" w:rsidP="000E447E"/>
    <w:p w14:paraId="41EF0108" w14:textId="77777777" w:rsidR="000E447E" w:rsidRDefault="000E447E" w:rsidP="000E447E">
      <w:r>
        <w:t xml:space="preserve">Dávka </w:t>
      </w:r>
      <w:r w:rsidR="006014C7" w:rsidRPr="00BE5C22">
        <w:t>D, j</w:t>
      </w:r>
      <w:r w:rsidR="00BE5C22" w:rsidRPr="00BE5C22">
        <w:t>e</w:t>
      </w:r>
      <w:r w:rsidR="006014C7" w:rsidRPr="00BE5C22">
        <w:t>dnotka je</w:t>
      </w:r>
      <w:r>
        <w:t xml:space="preserve"> sievert Sv</w:t>
      </w:r>
      <w:r w:rsidR="006014C7">
        <w:t>, je absorbovaná energie vynásobená koeficientem podle účinnost záření na organizmus.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260"/>
      </w:tblGrid>
      <w:tr w:rsidR="006014C7" w14:paraId="0A267C14" w14:textId="77777777" w:rsidTr="00072AD4">
        <w:tc>
          <w:tcPr>
            <w:tcW w:w="2988" w:type="dxa"/>
            <w:shd w:val="clear" w:color="auto" w:fill="auto"/>
          </w:tcPr>
          <w:p w14:paraId="09076A46" w14:textId="77777777" w:rsidR="006014C7" w:rsidRDefault="00725242" w:rsidP="000E447E">
            <w:r>
              <w:t>Z</w:t>
            </w:r>
            <w:r w:rsidR="006014C7">
              <w:t>áření</w:t>
            </w:r>
          </w:p>
        </w:tc>
        <w:tc>
          <w:tcPr>
            <w:tcW w:w="1260" w:type="dxa"/>
            <w:shd w:val="clear" w:color="auto" w:fill="auto"/>
          </w:tcPr>
          <w:p w14:paraId="7C84B526" w14:textId="77777777" w:rsidR="006014C7" w:rsidRDefault="006014C7" w:rsidP="000E447E">
            <w:r>
              <w:t>koeficient</w:t>
            </w:r>
          </w:p>
        </w:tc>
      </w:tr>
      <w:tr w:rsidR="006014C7" w14:paraId="047EF32E" w14:textId="77777777" w:rsidTr="00072AD4">
        <w:tc>
          <w:tcPr>
            <w:tcW w:w="2988" w:type="dxa"/>
            <w:shd w:val="clear" w:color="auto" w:fill="auto"/>
          </w:tcPr>
          <w:p w14:paraId="0172B5C1" w14:textId="77777777" w:rsidR="006014C7" w:rsidRDefault="006014C7" w:rsidP="000E447E">
            <w:r>
              <w:t>X, γ</w:t>
            </w:r>
          </w:p>
        </w:tc>
        <w:tc>
          <w:tcPr>
            <w:tcW w:w="1260" w:type="dxa"/>
            <w:shd w:val="clear" w:color="auto" w:fill="auto"/>
          </w:tcPr>
          <w:p w14:paraId="28B36037" w14:textId="77777777" w:rsidR="006014C7" w:rsidRDefault="006014C7" w:rsidP="000E447E">
            <w:r>
              <w:t>1</w:t>
            </w:r>
          </w:p>
        </w:tc>
      </w:tr>
      <w:tr w:rsidR="006014C7" w14:paraId="0B17345A" w14:textId="77777777" w:rsidTr="00072AD4">
        <w:tc>
          <w:tcPr>
            <w:tcW w:w="2988" w:type="dxa"/>
            <w:shd w:val="clear" w:color="auto" w:fill="auto"/>
          </w:tcPr>
          <w:p w14:paraId="1543D87C" w14:textId="77777777" w:rsidR="006014C7" w:rsidRDefault="006014C7" w:rsidP="000E447E">
            <w:r>
              <w:t>elektrony, miony</w:t>
            </w:r>
          </w:p>
        </w:tc>
        <w:tc>
          <w:tcPr>
            <w:tcW w:w="1260" w:type="dxa"/>
            <w:shd w:val="clear" w:color="auto" w:fill="auto"/>
          </w:tcPr>
          <w:p w14:paraId="66D4C1AF" w14:textId="77777777" w:rsidR="006014C7" w:rsidRDefault="006014C7" w:rsidP="000E447E">
            <w:r>
              <w:t>1</w:t>
            </w:r>
          </w:p>
        </w:tc>
      </w:tr>
      <w:tr w:rsidR="006014C7" w14:paraId="40D53B5F" w14:textId="77777777" w:rsidTr="00072AD4">
        <w:tc>
          <w:tcPr>
            <w:tcW w:w="2988" w:type="dxa"/>
            <w:shd w:val="clear" w:color="auto" w:fill="auto"/>
          </w:tcPr>
          <w:p w14:paraId="14400D5B" w14:textId="77777777" w:rsidR="006014C7" w:rsidRDefault="00725242" w:rsidP="000E447E">
            <w:r>
              <w:t>P</w:t>
            </w:r>
            <w:r w:rsidR="006014C7">
              <w:t>rotony</w:t>
            </w:r>
          </w:p>
        </w:tc>
        <w:tc>
          <w:tcPr>
            <w:tcW w:w="1260" w:type="dxa"/>
            <w:shd w:val="clear" w:color="auto" w:fill="auto"/>
          </w:tcPr>
          <w:p w14:paraId="784D196C" w14:textId="77777777" w:rsidR="006014C7" w:rsidRDefault="006014C7" w:rsidP="000E447E">
            <w:r>
              <w:t>5</w:t>
            </w:r>
          </w:p>
        </w:tc>
      </w:tr>
      <w:tr w:rsidR="006014C7" w14:paraId="2D99FD09" w14:textId="77777777" w:rsidTr="00072AD4">
        <w:tc>
          <w:tcPr>
            <w:tcW w:w="2988" w:type="dxa"/>
            <w:shd w:val="clear" w:color="auto" w:fill="auto"/>
          </w:tcPr>
          <w:p w14:paraId="4F537E28" w14:textId="77777777" w:rsidR="006014C7" w:rsidRDefault="006014C7" w:rsidP="000E447E">
            <w:r>
              <w:t>α, těžké částice</w:t>
            </w:r>
          </w:p>
        </w:tc>
        <w:tc>
          <w:tcPr>
            <w:tcW w:w="1260" w:type="dxa"/>
            <w:shd w:val="clear" w:color="auto" w:fill="auto"/>
          </w:tcPr>
          <w:p w14:paraId="511BABC8" w14:textId="77777777" w:rsidR="006014C7" w:rsidRDefault="006014C7" w:rsidP="000E447E">
            <w:r>
              <w:t>20</w:t>
            </w:r>
          </w:p>
        </w:tc>
      </w:tr>
      <w:tr w:rsidR="006014C7" w14:paraId="7A6F6A4E" w14:textId="77777777" w:rsidTr="00072AD4">
        <w:tc>
          <w:tcPr>
            <w:tcW w:w="2988" w:type="dxa"/>
            <w:shd w:val="clear" w:color="auto" w:fill="auto"/>
          </w:tcPr>
          <w:p w14:paraId="078D12E5" w14:textId="77777777" w:rsidR="006014C7" w:rsidRDefault="006014C7" w:rsidP="000E447E">
            <w:r>
              <w:t>neutrony &lt; 10 keV</w:t>
            </w:r>
          </w:p>
        </w:tc>
        <w:tc>
          <w:tcPr>
            <w:tcW w:w="1260" w:type="dxa"/>
            <w:shd w:val="clear" w:color="auto" w:fill="auto"/>
          </w:tcPr>
          <w:p w14:paraId="4A1A9FC0" w14:textId="77777777" w:rsidR="006014C7" w:rsidRDefault="006014C7" w:rsidP="000E447E">
            <w:r>
              <w:t>5</w:t>
            </w:r>
          </w:p>
        </w:tc>
      </w:tr>
      <w:tr w:rsidR="006014C7" w14:paraId="698C454E" w14:textId="77777777" w:rsidTr="00072AD4">
        <w:tc>
          <w:tcPr>
            <w:tcW w:w="2988" w:type="dxa"/>
            <w:shd w:val="clear" w:color="auto" w:fill="auto"/>
          </w:tcPr>
          <w:p w14:paraId="1F4E1F36" w14:textId="77777777" w:rsidR="006014C7" w:rsidRDefault="006014C7" w:rsidP="000E447E">
            <w:r>
              <w:t>neutrony 10-100 keV</w:t>
            </w:r>
          </w:p>
        </w:tc>
        <w:tc>
          <w:tcPr>
            <w:tcW w:w="1260" w:type="dxa"/>
            <w:shd w:val="clear" w:color="auto" w:fill="auto"/>
          </w:tcPr>
          <w:p w14:paraId="13100B40" w14:textId="77777777" w:rsidR="006014C7" w:rsidRDefault="006014C7" w:rsidP="000E447E">
            <w:r>
              <w:t>10</w:t>
            </w:r>
          </w:p>
        </w:tc>
      </w:tr>
      <w:tr w:rsidR="006014C7" w14:paraId="393B8045" w14:textId="77777777" w:rsidTr="00072AD4">
        <w:tc>
          <w:tcPr>
            <w:tcW w:w="2988" w:type="dxa"/>
            <w:shd w:val="clear" w:color="auto" w:fill="auto"/>
          </w:tcPr>
          <w:p w14:paraId="454B9DDF" w14:textId="77777777" w:rsidR="006014C7" w:rsidRDefault="006014C7" w:rsidP="000E447E">
            <w:r>
              <w:t xml:space="preserve">neutrony 100 keV – 2 MeV  </w:t>
            </w:r>
          </w:p>
        </w:tc>
        <w:tc>
          <w:tcPr>
            <w:tcW w:w="1260" w:type="dxa"/>
            <w:shd w:val="clear" w:color="auto" w:fill="auto"/>
          </w:tcPr>
          <w:p w14:paraId="00F45A5E" w14:textId="77777777" w:rsidR="006014C7" w:rsidRDefault="006014C7" w:rsidP="000E447E">
            <w:r>
              <w:t>20</w:t>
            </w:r>
          </w:p>
        </w:tc>
      </w:tr>
      <w:tr w:rsidR="006014C7" w14:paraId="1FFEDE83" w14:textId="77777777" w:rsidTr="00072AD4">
        <w:tc>
          <w:tcPr>
            <w:tcW w:w="2988" w:type="dxa"/>
            <w:shd w:val="clear" w:color="auto" w:fill="auto"/>
          </w:tcPr>
          <w:p w14:paraId="3AB4B2C8" w14:textId="77777777" w:rsidR="006014C7" w:rsidRDefault="006014C7" w:rsidP="000E447E">
            <w:r>
              <w:t>neutrony 2 – 20 MeV</w:t>
            </w:r>
          </w:p>
        </w:tc>
        <w:tc>
          <w:tcPr>
            <w:tcW w:w="1260" w:type="dxa"/>
            <w:shd w:val="clear" w:color="auto" w:fill="auto"/>
          </w:tcPr>
          <w:p w14:paraId="413B6E2F" w14:textId="77777777" w:rsidR="006014C7" w:rsidRDefault="006014C7" w:rsidP="000E447E">
            <w:r>
              <w:t>10</w:t>
            </w:r>
          </w:p>
        </w:tc>
      </w:tr>
      <w:tr w:rsidR="006014C7" w14:paraId="165B5BE8" w14:textId="77777777" w:rsidTr="00072AD4">
        <w:tc>
          <w:tcPr>
            <w:tcW w:w="2988" w:type="dxa"/>
            <w:shd w:val="clear" w:color="auto" w:fill="auto"/>
          </w:tcPr>
          <w:p w14:paraId="0FAB0E7A" w14:textId="77777777" w:rsidR="006014C7" w:rsidRDefault="006014C7" w:rsidP="000E447E">
            <w:r>
              <w:t>neutrony &gt;20 MeV</w:t>
            </w:r>
          </w:p>
        </w:tc>
        <w:tc>
          <w:tcPr>
            <w:tcW w:w="1260" w:type="dxa"/>
            <w:shd w:val="clear" w:color="auto" w:fill="auto"/>
          </w:tcPr>
          <w:p w14:paraId="30570B5A" w14:textId="77777777" w:rsidR="006014C7" w:rsidRDefault="006014C7" w:rsidP="000E447E">
            <w:r>
              <w:t>5</w:t>
            </w:r>
          </w:p>
        </w:tc>
      </w:tr>
    </w:tbl>
    <w:p w14:paraId="49E18F73" w14:textId="77777777" w:rsidR="006014C7" w:rsidRDefault="006014C7" w:rsidP="000E447E"/>
    <w:p w14:paraId="6D490325" w14:textId="77777777" w:rsidR="006014C7" w:rsidRDefault="006014C7" w:rsidP="000E447E">
      <w:r>
        <w:t>Přirozená radioaktivita je u nás 0,1 μSv za hodinu, to představuje 1 mSv ročně. Z </w:t>
      </w:r>
      <w:r w:rsidRPr="00BE5C22">
        <w:t>lékařských vyšetření dostává obyvatelstvo 0,6 mSv ročně, ze stavebních hmot 1,2 mSv, ostatní 0,2 mSv. Celkem 3 mSv ročně</w:t>
      </w:r>
      <w:r w:rsidR="00BE5C22" w:rsidRPr="00BE5C22">
        <w:t>.</w:t>
      </w:r>
    </w:p>
    <w:p w14:paraId="250A9083" w14:textId="77777777" w:rsidR="006014C7" w:rsidRDefault="006014C7" w:rsidP="000E447E">
      <w:r>
        <w:t>Limit pro obyvatelstvo je 5mSv/rok, pro pracovníky se zářením 50mSv/rok</w:t>
      </w:r>
      <w:r w:rsidR="004E224C">
        <w:t>. Smrtelná je dávka 4000-5000 mSv.</w:t>
      </w:r>
    </w:p>
    <w:p w14:paraId="2156C4FD" w14:textId="77777777" w:rsidR="004E224C" w:rsidRDefault="004E224C" w:rsidP="000E447E"/>
    <w:p w14:paraId="18CFD7C2" w14:textId="77777777" w:rsidR="004E224C" w:rsidRDefault="004E224C" w:rsidP="000E447E">
      <w:r>
        <w:t>Ozáření je další veličinou. Jde o celkový náboj iontů vzniklých v tělese po dopadu záření. Jednotkou je C.kg</w:t>
      </w:r>
      <w:r>
        <w:rPr>
          <w:vertAlign w:val="superscript"/>
        </w:rPr>
        <w:t>-1</w:t>
      </w:r>
      <w:r>
        <w:t>. Starší jednotkou je rentgen R = 2,6.10</w:t>
      </w:r>
      <w:r>
        <w:rPr>
          <w:vertAlign w:val="superscript"/>
        </w:rPr>
        <w:t>-</w:t>
      </w:r>
      <w:smartTag w:uri="urn:schemas-microsoft-com:office:smarttags" w:element="metricconverter">
        <w:smartTagPr>
          <w:attr w:name="ProductID" w:val="4 C"/>
        </w:smartTagPr>
        <w:r>
          <w:rPr>
            <w:vertAlign w:val="superscript"/>
          </w:rPr>
          <w:t>4</w:t>
        </w:r>
        <w:r>
          <w:t xml:space="preserve"> C</w:t>
        </w:r>
      </w:smartTag>
      <w:r>
        <w:t>.kg</w:t>
      </w:r>
      <w:r>
        <w:rPr>
          <w:vertAlign w:val="superscript"/>
        </w:rPr>
        <w:t>-1</w:t>
      </w:r>
      <w:r>
        <w:t>.</w:t>
      </w:r>
    </w:p>
    <w:p w14:paraId="7894E9A4" w14:textId="77777777" w:rsidR="004E224C" w:rsidRDefault="004E224C" w:rsidP="000E447E">
      <w:r>
        <w:t>Vojenská norma přípustných dávek ozáření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0"/>
        <w:gridCol w:w="5382"/>
      </w:tblGrid>
      <w:tr w:rsidR="004E224C" w14:paraId="588A57A0" w14:textId="77777777" w:rsidTr="00072AD4">
        <w:tc>
          <w:tcPr>
            <w:tcW w:w="5456" w:type="dxa"/>
            <w:shd w:val="clear" w:color="auto" w:fill="auto"/>
          </w:tcPr>
          <w:p w14:paraId="03D43351" w14:textId="77777777" w:rsidR="004E224C" w:rsidRDefault="004E224C" w:rsidP="000E447E">
            <w:r>
              <w:t>jednorázově nebo do 4 dnů</w:t>
            </w:r>
          </w:p>
        </w:tc>
        <w:tc>
          <w:tcPr>
            <w:tcW w:w="5456" w:type="dxa"/>
            <w:shd w:val="clear" w:color="auto" w:fill="auto"/>
          </w:tcPr>
          <w:p w14:paraId="7EC14BEA" w14:textId="77777777" w:rsidR="004E224C" w:rsidRDefault="004E224C" w:rsidP="000E447E">
            <w:r>
              <w:t>50 R</w:t>
            </w:r>
          </w:p>
        </w:tc>
      </w:tr>
      <w:tr w:rsidR="004E224C" w14:paraId="671CD482" w14:textId="77777777" w:rsidTr="00072AD4">
        <w:tc>
          <w:tcPr>
            <w:tcW w:w="5456" w:type="dxa"/>
            <w:shd w:val="clear" w:color="auto" w:fill="auto"/>
          </w:tcPr>
          <w:p w14:paraId="4E508CA3" w14:textId="77777777" w:rsidR="004E224C" w:rsidRDefault="004E224C" w:rsidP="000E447E">
            <w:r>
              <w:t>do 30 dnů</w:t>
            </w:r>
          </w:p>
        </w:tc>
        <w:tc>
          <w:tcPr>
            <w:tcW w:w="5456" w:type="dxa"/>
            <w:shd w:val="clear" w:color="auto" w:fill="auto"/>
          </w:tcPr>
          <w:p w14:paraId="03301831" w14:textId="77777777" w:rsidR="004E224C" w:rsidRDefault="004E224C" w:rsidP="000E447E">
            <w:r>
              <w:t>100 R</w:t>
            </w:r>
          </w:p>
        </w:tc>
      </w:tr>
      <w:tr w:rsidR="004E224C" w14:paraId="13D40AEC" w14:textId="77777777" w:rsidTr="00072AD4">
        <w:tc>
          <w:tcPr>
            <w:tcW w:w="5456" w:type="dxa"/>
            <w:shd w:val="clear" w:color="auto" w:fill="auto"/>
          </w:tcPr>
          <w:p w14:paraId="58116EB9" w14:textId="77777777" w:rsidR="004E224C" w:rsidRDefault="004E224C" w:rsidP="000E447E">
            <w:r>
              <w:t>do 3 měsíců</w:t>
            </w:r>
          </w:p>
        </w:tc>
        <w:tc>
          <w:tcPr>
            <w:tcW w:w="5456" w:type="dxa"/>
            <w:shd w:val="clear" w:color="auto" w:fill="auto"/>
          </w:tcPr>
          <w:p w14:paraId="2FD1847A" w14:textId="77777777" w:rsidR="004E224C" w:rsidRDefault="004E224C" w:rsidP="000E447E">
            <w:r>
              <w:t>200 R</w:t>
            </w:r>
          </w:p>
        </w:tc>
      </w:tr>
      <w:tr w:rsidR="004E224C" w14:paraId="2BB5B3FD" w14:textId="77777777" w:rsidTr="00072AD4">
        <w:tc>
          <w:tcPr>
            <w:tcW w:w="5456" w:type="dxa"/>
            <w:shd w:val="clear" w:color="auto" w:fill="auto"/>
          </w:tcPr>
          <w:p w14:paraId="48B3C7F7" w14:textId="77777777" w:rsidR="004E224C" w:rsidRDefault="004E224C" w:rsidP="000E447E">
            <w:r>
              <w:t>do 1 roku</w:t>
            </w:r>
          </w:p>
        </w:tc>
        <w:tc>
          <w:tcPr>
            <w:tcW w:w="5456" w:type="dxa"/>
            <w:shd w:val="clear" w:color="auto" w:fill="auto"/>
          </w:tcPr>
          <w:p w14:paraId="340B2C78" w14:textId="77777777" w:rsidR="004E224C" w:rsidRDefault="004E224C" w:rsidP="000E447E">
            <w:r>
              <w:t>300 R</w:t>
            </w:r>
          </w:p>
        </w:tc>
      </w:tr>
      <w:tr w:rsidR="004E224C" w14:paraId="7EAEEB14" w14:textId="77777777" w:rsidTr="00072AD4">
        <w:tc>
          <w:tcPr>
            <w:tcW w:w="5456" w:type="dxa"/>
            <w:shd w:val="clear" w:color="auto" w:fill="auto"/>
          </w:tcPr>
          <w:p w14:paraId="74C6B3D1" w14:textId="77777777" w:rsidR="004E224C" w:rsidRDefault="004E224C" w:rsidP="000E447E">
            <w:r>
              <w:t>do 1R za hodinu</w:t>
            </w:r>
          </w:p>
        </w:tc>
        <w:tc>
          <w:tcPr>
            <w:tcW w:w="5456" w:type="dxa"/>
            <w:shd w:val="clear" w:color="auto" w:fill="auto"/>
          </w:tcPr>
          <w:p w14:paraId="05ED6100" w14:textId="77777777" w:rsidR="004E224C" w:rsidRDefault="004E224C" w:rsidP="000E447E">
            <w:r>
              <w:t>lze konzumovat stravu</w:t>
            </w:r>
          </w:p>
        </w:tc>
      </w:tr>
      <w:tr w:rsidR="004E224C" w14:paraId="7A946F1F" w14:textId="77777777" w:rsidTr="00072AD4">
        <w:tc>
          <w:tcPr>
            <w:tcW w:w="5456" w:type="dxa"/>
            <w:shd w:val="clear" w:color="auto" w:fill="auto"/>
          </w:tcPr>
          <w:p w14:paraId="177D534E" w14:textId="77777777" w:rsidR="004E224C" w:rsidRDefault="004E224C" w:rsidP="000E447E">
            <w:r>
              <w:t>do 5R za hodinu</w:t>
            </w:r>
          </w:p>
        </w:tc>
        <w:tc>
          <w:tcPr>
            <w:tcW w:w="5456" w:type="dxa"/>
            <w:shd w:val="clear" w:color="auto" w:fill="auto"/>
          </w:tcPr>
          <w:p w14:paraId="3DF1A6AF" w14:textId="77777777" w:rsidR="004E224C" w:rsidRDefault="004E224C" w:rsidP="000E447E">
            <w:r>
              <w:t xml:space="preserve">pobyt ve stanech, použití ochranných prostředků </w:t>
            </w:r>
          </w:p>
        </w:tc>
      </w:tr>
      <w:tr w:rsidR="004E224C" w14:paraId="451C27A6" w14:textId="77777777" w:rsidTr="00072AD4">
        <w:tc>
          <w:tcPr>
            <w:tcW w:w="5456" w:type="dxa"/>
            <w:shd w:val="clear" w:color="auto" w:fill="auto"/>
          </w:tcPr>
          <w:p w14:paraId="2B77F984" w14:textId="77777777" w:rsidR="004E224C" w:rsidRDefault="004E224C" w:rsidP="000E447E">
            <w:r>
              <w:t>více než 5 R za hodinu</w:t>
            </w:r>
          </w:p>
        </w:tc>
        <w:tc>
          <w:tcPr>
            <w:tcW w:w="5456" w:type="dxa"/>
            <w:shd w:val="clear" w:color="auto" w:fill="auto"/>
          </w:tcPr>
          <w:p w14:paraId="34ABFD2B" w14:textId="77777777" w:rsidR="004E224C" w:rsidRDefault="004E224C" w:rsidP="000E447E">
            <w:r>
              <w:t>nutný pobyt v hermeticky uzavřených prostorech</w:t>
            </w:r>
          </w:p>
        </w:tc>
      </w:tr>
    </w:tbl>
    <w:p w14:paraId="6429DAA7" w14:textId="77777777" w:rsidR="006014C7" w:rsidRDefault="004D75AB" w:rsidP="00FD50AC">
      <w:pPr>
        <w:pStyle w:val="Nadpis3"/>
      </w:pPr>
      <w:bookmarkStart w:id="22" w:name="_Toc211009961"/>
      <w:r>
        <w:t>Principy p</w:t>
      </w:r>
      <w:r w:rsidR="00FD50AC">
        <w:t>řístroj</w:t>
      </w:r>
      <w:r>
        <w:t>ů</w:t>
      </w:r>
      <w:r w:rsidR="00FD50AC">
        <w:t xml:space="preserve"> pro registraci radioaktivity</w:t>
      </w:r>
      <w:bookmarkEnd w:id="22"/>
    </w:p>
    <w:p w14:paraId="34B62038" w14:textId="77777777" w:rsidR="00FD50AC" w:rsidRDefault="00FD50AC" w:rsidP="00FD50AC">
      <w:r>
        <w:t>Geiger-Műllerův počítač – radioaktivní částice ionizují plyn</w:t>
      </w:r>
      <w:r w:rsidR="004D75AB">
        <w:t xml:space="preserve"> a přístrojem prochází proud.</w:t>
      </w:r>
    </w:p>
    <w:p w14:paraId="49FEDF3B" w14:textId="77777777" w:rsidR="004D75AB" w:rsidRDefault="004D75AB" w:rsidP="00FD50AC">
      <w:r>
        <w:t>Mlžné a bublinkové komory – radioaktivní částice vyvolávají lokálně změnu skupenství. V mlžných komorách plyn kapalní, v bublinkových kapalina vytváří bublinky.</w:t>
      </w:r>
    </w:p>
    <w:p w14:paraId="51C6C0EF" w14:textId="77777777" w:rsidR="004D75AB" w:rsidRDefault="004D75AB" w:rsidP="00FD50AC">
      <w:r>
        <w:t xml:space="preserve">Scintilační (zábleskové metody) – některé sloučeniny při dopadu radioaktivních částic vydávají záblesk. </w:t>
      </w:r>
    </w:p>
    <w:p w14:paraId="50E47D3F" w14:textId="3144E040" w:rsidR="006014C7" w:rsidRDefault="004D75AB" w:rsidP="000E447E">
      <w:r>
        <w:t>Polovodičové detektory – dopad částic mění vodivost polovodiče.</w:t>
      </w:r>
    </w:p>
    <w:p w14:paraId="3A5BD057" w14:textId="6F547251" w:rsidR="001667A7" w:rsidRDefault="001667A7" w:rsidP="000E447E"/>
    <w:p w14:paraId="68A5AD5B" w14:textId="08363604" w:rsidR="003B51C4" w:rsidRDefault="00B93D04" w:rsidP="000E447E">
      <w:hyperlink r:id="rId24" w:history="1">
        <w:r w:rsidR="001667A7" w:rsidRPr="00AC6203">
          <w:rPr>
            <w:rStyle w:val="Hypertextovodkaz"/>
          </w:rPr>
          <w:t>https://www.google.com/search?q=bubble+chamber+photo</w:t>
        </w:r>
      </w:hyperlink>
      <w:r w:rsidR="001667A7">
        <w:t xml:space="preserve"> </w:t>
      </w:r>
    </w:p>
    <w:p w14:paraId="7203D334" w14:textId="77777777" w:rsidR="003B51C4" w:rsidRDefault="00544392" w:rsidP="000E447E">
      <w:r>
        <w:rPr>
          <w:noProof/>
        </w:rPr>
        <w:lastRenderedPageBreak/>
        <w:drawing>
          <wp:inline distT="0" distB="0" distL="0" distR="0" wp14:anchorId="697243D9" wp14:editId="5FA1D8A9">
            <wp:extent cx="3112770" cy="2320925"/>
            <wp:effectExtent l="0" t="0" r="0" b="3175"/>
            <wp:docPr id="9" name="obrázek 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2770" cy="2320925"/>
                    </a:xfrm>
                    <a:prstGeom prst="rect">
                      <a:avLst/>
                    </a:prstGeom>
                    <a:noFill/>
                    <a:ln>
                      <a:noFill/>
                    </a:ln>
                  </pic:spPr>
                </pic:pic>
              </a:graphicData>
            </a:graphic>
          </wp:inline>
        </w:drawing>
      </w:r>
      <w:r w:rsidR="003B51C4">
        <w:t xml:space="preserve">  </w:t>
      </w:r>
      <w:r>
        <w:rPr>
          <w:noProof/>
        </w:rPr>
        <w:drawing>
          <wp:inline distT="0" distB="0" distL="0" distR="0" wp14:anchorId="5F01BCC2" wp14:editId="60B357DC">
            <wp:extent cx="3528695" cy="2332990"/>
            <wp:effectExtent l="0" t="0" r="0" b="0"/>
            <wp:docPr id="10" name="obrázek 10" descr="pAt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tP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8695" cy="2332990"/>
                    </a:xfrm>
                    <a:prstGeom prst="rect">
                      <a:avLst/>
                    </a:prstGeom>
                    <a:noFill/>
                    <a:ln>
                      <a:noFill/>
                    </a:ln>
                  </pic:spPr>
                </pic:pic>
              </a:graphicData>
            </a:graphic>
          </wp:inline>
        </w:drawing>
      </w:r>
    </w:p>
    <w:p w14:paraId="17CA6D00" w14:textId="77777777" w:rsidR="003B51C4" w:rsidRPr="003B51C4" w:rsidRDefault="003B51C4" w:rsidP="000E447E">
      <w:pPr>
        <w:rPr>
          <w:sz w:val="16"/>
          <w:szCs w:val="16"/>
        </w:rPr>
      </w:pPr>
    </w:p>
    <w:p w14:paraId="4BC45D42" w14:textId="77777777" w:rsidR="003B51C4" w:rsidRPr="003B51C4" w:rsidRDefault="00544392" w:rsidP="000E447E">
      <w:r>
        <w:rPr>
          <w:noProof/>
        </w:rPr>
        <w:drawing>
          <wp:inline distT="0" distB="0" distL="0" distR="0" wp14:anchorId="5B3E76A6" wp14:editId="065AB572">
            <wp:extent cx="4120515" cy="1905000"/>
            <wp:effectExtent l="0" t="0" r="0" b="0"/>
            <wp:docPr id="11" name="obrázek 11" descr="StopyC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pyCast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0515" cy="1905000"/>
                    </a:xfrm>
                    <a:prstGeom prst="rect">
                      <a:avLst/>
                    </a:prstGeom>
                    <a:noFill/>
                    <a:ln>
                      <a:noFill/>
                    </a:ln>
                  </pic:spPr>
                </pic:pic>
              </a:graphicData>
            </a:graphic>
          </wp:inline>
        </w:drawing>
      </w:r>
    </w:p>
    <w:p w14:paraId="473A9906" w14:textId="77777777" w:rsidR="008633AB" w:rsidRDefault="004D75AB" w:rsidP="005F5E4F">
      <w:pPr>
        <w:pStyle w:val="Nadpis2"/>
      </w:pPr>
      <w:bookmarkStart w:id="23" w:name="_Toc211009962"/>
      <w:r>
        <w:t>Přehled elementárních částic</w:t>
      </w:r>
      <w:bookmarkEnd w:id="23"/>
    </w:p>
    <w:p w14:paraId="2E0D522C" w14:textId="77777777" w:rsidR="008633AB" w:rsidRPr="00BE5C22" w:rsidRDefault="008633AB" w:rsidP="008633AB">
      <w:r>
        <w:t xml:space="preserve">Částice můžeme rozdělit do </w:t>
      </w:r>
      <w:r w:rsidRPr="00BE5C22">
        <w:t>tří skupin</w:t>
      </w:r>
      <w:r w:rsidR="00BE5C22" w:rsidRPr="00BE5C22">
        <w:t>:</w:t>
      </w:r>
      <w:r w:rsidRPr="00BE5C22">
        <w:t xml:space="preserve"> </w:t>
      </w:r>
    </w:p>
    <w:p w14:paraId="50163767" w14:textId="77777777" w:rsidR="008633AB" w:rsidRPr="00BE5C22" w:rsidRDefault="008633AB" w:rsidP="008633AB">
      <w:pPr>
        <w:numPr>
          <w:ilvl w:val="0"/>
          <w:numId w:val="6"/>
        </w:numPr>
      </w:pPr>
      <w:r w:rsidRPr="00BE5C22">
        <w:t>leptony,</w:t>
      </w:r>
    </w:p>
    <w:p w14:paraId="7F5846F3" w14:textId="77777777" w:rsidR="008633AB" w:rsidRPr="00BE5C22" w:rsidRDefault="008633AB" w:rsidP="008633AB">
      <w:pPr>
        <w:numPr>
          <w:ilvl w:val="0"/>
          <w:numId w:val="6"/>
        </w:numPr>
      </w:pPr>
      <w:r w:rsidRPr="00BE5C22">
        <w:t>kvarky a částice z kvarků složené</w:t>
      </w:r>
      <w:r w:rsidR="00BE5C22" w:rsidRPr="00BE5C22">
        <w:t>,</w:t>
      </w:r>
    </w:p>
    <w:p w14:paraId="78A6E4FD" w14:textId="77777777" w:rsidR="008633AB" w:rsidRPr="00BE5C22" w:rsidRDefault="00496404" w:rsidP="008633AB">
      <w:pPr>
        <w:numPr>
          <w:ilvl w:val="0"/>
          <w:numId w:val="6"/>
        </w:numPr>
      </w:pPr>
      <w:r w:rsidRPr="00BE5C22">
        <w:t xml:space="preserve">intermediální částice, tj. </w:t>
      </w:r>
      <w:r w:rsidR="008633AB" w:rsidRPr="00BE5C22">
        <w:t>částice zprostředkující interakce</w:t>
      </w:r>
      <w:r w:rsidR="00BE5C22" w:rsidRPr="00BE5C22">
        <w:t>.</w:t>
      </w:r>
    </w:p>
    <w:p w14:paraId="35ABC2E9" w14:textId="77777777" w:rsidR="008633AB" w:rsidRDefault="008633AB" w:rsidP="008633AB"/>
    <w:p w14:paraId="19612802" w14:textId="77777777" w:rsidR="008633AB" w:rsidRDefault="008633AB" w:rsidP="008633AB">
      <w:r>
        <w:t>Leptony jsou lehké částice. Je jich šest: elektron, lepton μ (mion), leton τ (tauron), elektronové neutrino, mionové neutrino, tauronové neutrino.</w:t>
      </w:r>
      <w:r w:rsidR="00496404">
        <w:t xml:space="preserve"> </w:t>
      </w:r>
      <w:r w:rsidR="005F5E4F">
        <w:t>Ke každému z těchto 6 leptonů existuje příslušná antičástice. Antičástice elektronu se nazývá pozitron.</w:t>
      </w:r>
    </w:p>
    <w:p w14:paraId="3F489384" w14:textId="77777777" w:rsidR="008633AB" w:rsidRDefault="008633AB" w:rsidP="008633AB"/>
    <w:p w14:paraId="5E501108" w14:textId="77777777" w:rsidR="008633AB" w:rsidRDefault="008633AB" w:rsidP="008633AB">
      <w:r>
        <w:t>Kvarků je také šest</w:t>
      </w:r>
      <w:r w:rsidR="00B14770">
        <w:t xml:space="preserve">. Označujíc se písmeny u, d, c, s, t, b. Označení vychází z anglických slov up, down, charm, strange, top, bottom. </w:t>
      </w:r>
      <w:r w:rsidR="005F5E4F">
        <w:t xml:space="preserve">Ke každému kvarku existuje příslušný antikvark. </w:t>
      </w:r>
      <w:r w:rsidR="00B14770">
        <w:t>Kvarky nikdy neexistují samostatně. Vyskytují se jen v kombinacích a to jako mezony (dvojice kvark-antikvark) nebo jako hadrony (trojice kvarků). Protony a neutrony patří mezi hadrony. Proton je složeninou (u, u, d) a neutron (u, d, d).</w:t>
      </w:r>
    </w:p>
    <w:p w14:paraId="40AA5731" w14:textId="77777777" w:rsidR="00B14770" w:rsidRDefault="00B14770" w:rsidP="008633AB"/>
    <w:p w14:paraId="61DFD33B" w14:textId="77777777" w:rsidR="00BE5C22" w:rsidRPr="00BE5C22" w:rsidRDefault="00B14770" w:rsidP="008633AB">
      <w:r w:rsidRPr="00BE5C22">
        <w:t xml:space="preserve">Částice zprostředkující interakce </w:t>
      </w:r>
      <w:r w:rsidR="005F5E4F" w:rsidRPr="00BE5C22">
        <w:t xml:space="preserve">(intermediální částice) </w:t>
      </w:r>
      <w:r w:rsidRPr="00BE5C22">
        <w:t>jsou</w:t>
      </w:r>
      <w:r w:rsidR="00725242" w:rsidRPr="00BE5C22">
        <w:t>:</w:t>
      </w:r>
    </w:p>
    <w:p w14:paraId="62B775DE" w14:textId="77777777" w:rsidR="00B14770" w:rsidRPr="00BE5C22" w:rsidRDefault="00B14770" w:rsidP="00BE5C22">
      <w:pPr>
        <w:numPr>
          <w:ilvl w:val="0"/>
          <w:numId w:val="7"/>
        </w:numPr>
      </w:pPr>
      <w:r w:rsidRPr="00BE5C22">
        <w:t xml:space="preserve">foton </w:t>
      </w:r>
      <w:r w:rsidR="00BE5C22" w:rsidRPr="00BE5C22">
        <w:t xml:space="preserve">– </w:t>
      </w:r>
      <w:r w:rsidRPr="00BE5C22">
        <w:t>pro elektromagnetickou interakci</w:t>
      </w:r>
      <w:r w:rsidR="00D468C7">
        <w:t>,</w:t>
      </w:r>
    </w:p>
    <w:p w14:paraId="3331B405" w14:textId="77777777" w:rsidR="00B14770" w:rsidRPr="00BE5C22" w:rsidRDefault="00B14770" w:rsidP="00BE5C22">
      <w:pPr>
        <w:numPr>
          <w:ilvl w:val="0"/>
          <w:numId w:val="7"/>
        </w:numPr>
      </w:pPr>
      <w:r w:rsidRPr="00BE5C22">
        <w:t>Z</w:t>
      </w:r>
      <w:r w:rsidRPr="00BE5C22">
        <w:rPr>
          <w:vertAlign w:val="superscript"/>
        </w:rPr>
        <w:t>0</w:t>
      </w:r>
      <w:r w:rsidRPr="00BE5C22">
        <w:t>, W</w:t>
      </w:r>
      <w:r w:rsidRPr="00BE5C22">
        <w:rPr>
          <w:vertAlign w:val="superscript"/>
        </w:rPr>
        <w:t>+</w:t>
      </w:r>
      <w:r w:rsidRPr="00BE5C22">
        <w:t>, W</w:t>
      </w:r>
      <w:r w:rsidR="00D468C7">
        <w:rPr>
          <w:vertAlign w:val="superscript"/>
        </w:rPr>
        <w:t>–</w:t>
      </w:r>
      <w:r w:rsidRPr="00BE5C22">
        <w:t xml:space="preserve"> </w:t>
      </w:r>
      <w:r w:rsidR="00BE5C22" w:rsidRPr="00BE5C22">
        <w:t xml:space="preserve">– </w:t>
      </w:r>
      <w:r w:rsidRPr="00BE5C22">
        <w:t>pro slabou jadernou interakci</w:t>
      </w:r>
      <w:r w:rsidR="00D468C7">
        <w:t>,</w:t>
      </w:r>
    </w:p>
    <w:p w14:paraId="14D3ECA6" w14:textId="77777777" w:rsidR="00B14770" w:rsidRPr="00BE5C22" w:rsidRDefault="00B14770" w:rsidP="00BE5C22">
      <w:pPr>
        <w:numPr>
          <w:ilvl w:val="0"/>
          <w:numId w:val="7"/>
        </w:numPr>
      </w:pPr>
      <w:r w:rsidRPr="00BE5C22">
        <w:t xml:space="preserve">gluony </w:t>
      </w:r>
      <w:r w:rsidR="00BE5C22" w:rsidRPr="00BE5C22">
        <w:t xml:space="preserve">– </w:t>
      </w:r>
      <w:r w:rsidRPr="00BE5C22">
        <w:t>pro silnou jadernou interakci (teorie pracuje s 8 gluony)</w:t>
      </w:r>
      <w:r w:rsidR="00D468C7">
        <w:t>,</w:t>
      </w:r>
    </w:p>
    <w:p w14:paraId="212A6510" w14:textId="77777777" w:rsidR="004D75AB" w:rsidRPr="00BE5C22" w:rsidRDefault="00B14770" w:rsidP="00BE5C22">
      <w:pPr>
        <w:numPr>
          <w:ilvl w:val="0"/>
          <w:numId w:val="7"/>
        </w:numPr>
      </w:pPr>
      <w:r w:rsidRPr="00BE5C22">
        <w:t xml:space="preserve">graviton </w:t>
      </w:r>
      <w:r w:rsidR="00BE5C22" w:rsidRPr="00BE5C22">
        <w:t xml:space="preserve">– </w:t>
      </w:r>
      <w:r w:rsidRPr="00BE5C22">
        <w:t xml:space="preserve">předpokládají některé teorie gravitační interakce, nebyl však ještě experimentálně potvrzen. </w:t>
      </w:r>
    </w:p>
    <w:p w14:paraId="7273D899" w14:textId="77777777" w:rsidR="00B14770" w:rsidRDefault="00B14770" w:rsidP="00B14770"/>
    <w:p w14:paraId="614951DA" w14:textId="77777777" w:rsidR="00C2765B" w:rsidRDefault="00B14770" w:rsidP="00B14770">
      <w:r>
        <w:t xml:space="preserve">Kromě tohoto členění se setkáme i s dělením podle jiných hledisek. </w:t>
      </w:r>
      <w:r w:rsidR="00653EBA">
        <w:t>Dost d</w:t>
      </w:r>
      <w:r>
        <w:t>ůležité je rozdělení</w:t>
      </w:r>
      <w:r w:rsidR="00653EBA">
        <w:t xml:space="preserve"> částic na bozony a fermiony. Bozony jsou částice s celočíselným spinem. V daném systému mohou být ve větším počtu ve stejném energetickém stavu. V extrémním případě mohou tedy být všechn</w:t>
      </w:r>
      <w:r w:rsidR="004E1027">
        <w:t xml:space="preserve">y ve stavu nejnižším, s nejmenší </w:t>
      </w:r>
      <w:r w:rsidR="00653EBA">
        <w:t xml:space="preserve">energií. Fermiony jsou částice s poločíselným spinem (např. elektron). Podléhají vylučovacímu principu. V daném systému se nemohou nalézat dvě částice ve stavu popsaném stejnými kvantovými čísly. Příkladem pro elektrony je známý </w:t>
      </w:r>
      <w:r w:rsidR="00653EBA" w:rsidRPr="00BE5C22">
        <w:t>Pauliho vylučovací princip.</w:t>
      </w:r>
      <w:r w:rsidR="00C2765B" w:rsidRPr="00BE5C22">
        <w:t xml:space="preserve"> V elektronovém obalu atomu mohou být v energetickém stavu popsaném stejnými kvantovými čísly (</w:t>
      </w:r>
      <w:r w:rsidR="00C2765B" w:rsidRPr="00BE5C22">
        <w:rPr>
          <w:i/>
        </w:rPr>
        <w:t>n, l, m</w:t>
      </w:r>
      <w:r w:rsidR="00C2765B" w:rsidRPr="00BE5C22">
        <w:t xml:space="preserve">) jen dva elektrony lišící se svým spinem, tj. spinovým kvantovým </w:t>
      </w:r>
      <w:r w:rsidR="00C2765B" w:rsidRPr="00BE5C22">
        <w:lastRenderedPageBreak/>
        <w:t xml:space="preserve">číslem </w:t>
      </w:r>
      <w:r w:rsidR="00C2765B" w:rsidRPr="00BE5C22">
        <w:rPr>
          <w:i/>
        </w:rPr>
        <w:t>s</w:t>
      </w:r>
      <w:r w:rsidR="00C2765B" w:rsidRPr="00BE5C22">
        <w:t>.</w:t>
      </w:r>
      <w:r w:rsidR="00653EBA" w:rsidRPr="00BE5C22">
        <w:t xml:space="preserve"> </w:t>
      </w:r>
      <w:r w:rsidR="00C2765B" w:rsidRPr="00BE5C22">
        <w:t>Fermiony v určitém systému nemohou ve větším počtu obsadit stejnou energetickou hladinu. Díky tomu je chování fermionů v mnoha ohledech odlišné od chování bozonů. Rozdíly, se projevují hlavně při nižších teplotách, kdy je celková energie systému nízká.</w:t>
      </w:r>
    </w:p>
    <w:p w14:paraId="54D6042B" w14:textId="77777777" w:rsidR="00397A01" w:rsidRDefault="00397A01" w:rsidP="00B14770"/>
    <w:sectPr w:rsidR="00397A01" w:rsidSect="003A625A">
      <w:pgSz w:w="11906" w:h="16838"/>
      <w:pgMar w:top="851" w:right="567"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1A7D"/>
    <w:multiLevelType w:val="hybridMultilevel"/>
    <w:tmpl w:val="E140DF1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9A375D"/>
    <w:multiLevelType w:val="hybridMultilevel"/>
    <w:tmpl w:val="A566ED3C"/>
    <w:lvl w:ilvl="0" w:tplc="95B6F662">
      <w:start w:val="1"/>
      <w:numFmt w:val="upperRoman"/>
      <w:lvlText w:val="%1."/>
      <w:lvlJc w:val="left"/>
      <w:pPr>
        <w:tabs>
          <w:tab w:val="num" w:pos="720"/>
        </w:tabs>
        <w:ind w:left="720" w:hanging="72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206626D3"/>
    <w:multiLevelType w:val="hybridMultilevel"/>
    <w:tmpl w:val="6F324F1E"/>
    <w:lvl w:ilvl="0" w:tplc="EECA451E">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07711B"/>
    <w:multiLevelType w:val="hybridMultilevel"/>
    <w:tmpl w:val="E4C05DA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B586959"/>
    <w:multiLevelType w:val="hybridMultilevel"/>
    <w:tmpl w:val="B74A2E96"/>
    <w:lvl w:ilvl="0" w:tplc="6706EF8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CD2EC9"/>
    <w:multiLevelType w:val="multilevel"/>
    <w:tmpl w:val="0DACE4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59D6A5A"/>
    <w:multiLevelType w:val="hybridMultilevel"/>
    <w:tmpl w:val="78DAD31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464C0A46"/>
    <w:multiLevelType w:val="hybridMultilevel"/>
    <w:tmpl w:val="AD8E9F1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 w15:restartNumberingAfterBreak="0">
    <w:nsid w:val="548C5008"/>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1E565B4"/>
    <w:multiLevelType w:val="hybridMultilevel"/>
    <w:tmpl w:val="E2A09B6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AF5A79"/>
    <w:multiLevelType w:val="hybridMultilevel"/>
    <w:tmpl w:val="FF8402E2"/>
    <w:lvl w:ilvl="0" w:tplc="04050017">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 w15:restartNumberingAfterBreak="0">
    <w:nsid w:val="786A4CBB"/>
    <w:multiLevelType w:val="multilevel"/>
    <w:tmpl w:val="0405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9"/>
  </w:num>
  <w:num w:numId="3">
    <w:abstractNumId w:val="10"/>
  </w:num>
  <w:num w:numId="4">
    <w:abstractNumId w:val="7"/>
  </w:num>
  <w:num w:numId="5">
    <w:abstractNumId w:val="0"/>
  </w:num>
  <w:num w:numId="6">
    <w:abstractNumId w:val="6"/>
  </w:num>
  <w:num w:numId="7">
    <w:abstractNumId w:val="3"/>
  </w:num>
  <w:num w:numId="8">
    <w:abstractNumId w:val="8"/>
  </w:num>
  <w:num w:numId="9">
    <w:abstractNumId w:val="5"/>
  </w:num>
  <w:num w:numId="10">
    <w:abstractNumId w:val="11"/>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F0C"/>
    <w:rsid w:val="00003288"/>
    <w:rsid w:val="000038C2"/>
    <w:rsid w:val="0001199C"/>
    <w:rsid w:val="00020287"/>
    <w:rsid w:val="00021911"/>
    <w:rsid w:val="00022166"/>
    <w:rsid w:val="00030841"/>
    <w:rsid w:val="00030A6A"/>
    <w:rsid w:val="00033E68"/>
    <w:rsid w:val="00035112"/>
    <w:rsid w:val="00035286"/>
    <w:rsid w:val="0004121D"/>
    <w:rsid w:val="00050CBB"/>
    <w:rsid w:val="000572C0"/>
    <w:rsid w:val="000672C8"/>
    <w:rsid w:val="00070849"/>
    <w:rsid w:val="00072AD4"/>
    <w:rsid w:val="00075170"/>
    <w:rsid w:val="0008069C"/>
    <w:rsid w:val="00086805"/>
    <w:rsid w:val="00087D90"/>
    <w:rsid w:val="00090F17"/>
    <w:rsid w:val="0009611F"/>
    <w:rsid w:val="000A4BAF"/>
    <w:rsid w:val="000A5D10"/>
    <w:rsid w:val="000C2436"/>
    <w:rsid w:val="000D0748"/>
    <w:rsid w:val="000D4F04"/>
    <w:rsid w:val="000E0A3D"/>
    <w:rsid w:val="000E3104"/>
    <w:rsid w:val="000E447E"/>
    <w:rsid w:val="001022D9"/>
    <w:rsid w:val="00110D75"/>
    <w:rsid w:val="00113359"/>
    <w:rsid w:val="001200CD"/>
    <w:rsid w:val="001251DC"/>
    <w:rsid w:val="00134C0D"/>
    <w:rsid w:val="0013604F"/>
    <w:rsid w:val="00141393"/>
    <w:rsid w:val="00144C7E"/>
    <w:rsid w:val="001465C6"/>
    <w:rsid w:val="00165EF2"/>
    <w:rsid w:val="001667A7"/>
    <w:rsid w:val="00176152"/>
    <w:rsid w:val="00176CA8"/>
    <w:rsid w:val="00183554"/>
    <w:rsid w:val="001915E0"/>
    <w:rsid w:val="00195E9C"/>
    <w:rsid w:val="001D191A"/>
    <w:rsid w:val="00205F50"/>
    <w:rsid w:val="00215368"/>
    <w:rsid w:val="002223CD"/>
    <w:rsid w:val="002269C8"/>
    <w:rsid w:val="002340DF"/>
    <w:rsid w:val="0023413E"/>
    <w:rsid w:val="002549CD"/>
    <w:rsid w:val="002578A0"/>
    <w:rsid w:val="00266CAE"/>
    <w:rsid w:val="00277EC4"/>
    <w:rsid w:val="002811E1"/>
    <w:rsid w:val="00297C67"/>
    <w:rsid w:val="002B1953"/>
    <w:rsid w:val="002B1B88"/>
    <w:rsid w:val="002B7019"/>
    <w:rsid w:val="002C2757"/>
    <w:rsid w:val="00307C10"/>
    <w:rsid w:val="00310044"/>
    <w:rsid w:val="00310297"/>
    <w:rsid w:val="00313C6D"/>
    <w:rsid w:val="0031712E"/>
    <w:rsid w:val="00327D93"/>
    <w:rsid w:val="00336FF4"/>
    <w:rsid w:val="003437E0"/>
    <w:rsid w:val="00350E90"/>
    <w:rsid w:val="00376E0E"/>
    <w:rsid w:val="0037793E"/>
    <w:rsid w:val="00381D6F"/>
    <w:rsid w:val="00393BC9"/>
    <w:rsid w:val="00394DE8"/>
    <w:rsid w:val="00397A01"/>
    <w:rsid w:val="003A2DAB"/>
    <w:rsid w:val="003A3DC8"/>
    <w:rsid w:val="003A625A"/>
    <w:rsid w:val="003A7508"/>
    <w:rsid w:val="003B0170"/>
    <w:rsid w:val="003B44F8"/>
    <w:rsid w:val="003B51C4"/>
    <w:rsid w:val="003B53F0"/>
    <w:rsid w:val="003C27E9"/>
    <w:rsid w:val="003D3710"/>
    <w:rsid w:val="003D52D9"/>
    <w:rsid w:val="003E3AE0"/>
    <w:rsid w:val="003E59BB"/>
    <w:rsid w:val="003E70E0"/>
    <w:rsid w:val="003E75F2"/>
    <w:rsid w:val="003E7741"/>
    <w:rsid w:val="003F13EC"/>
    <w:rsid w:val="003F2479"/>
    <w:rsid w:val="003F7587"/>
    <w:rsid w:val="00401369"/>
    <w:rsid w:val="00401A28"/>
    <w:rsid w:val="00401CB6"/>
    <w:rsid w:val="004053A3"/>
    <w:rsid w:val="0041268E"/>
    <w:rsid w:val="00437057"/>
    <w:rsid w:val="00437EF0"/>
    <w:rsid w:val="004432A5"/>
    <w:rsid w:val="0044585F"/>
    <w:rsid w:val="00452846"/>
    <w:rsid w:val="00454568"/>
    <w:rsid w:val="00482819"/>
    <w:rsid w:val="004863C5"/>
    <w:rsid w:val="00491754"/>
    <w:rsid w:val="00496404"/>
    <w:rsid w:val="004A3B99"/>
    <w:rsid w:val="004B5F63"/>
    <w:rsid w:val="004B614A"/>
    <w:rsid w:val="004B7227"/>
    <w:rsid w:val="004D0C1E"/>
    <w:rsid w:val="004D75AB"/>
    <w:rsid w:val="004E1027"/>
    <w:rsid w:val="004E224C"/>
    <w:rsid w:val="004E3C33"/>
    <w:rsid w:val="004E5A57"/>
    <w:rsid w:val="004F14FA"/>
    <w:rsid w:val="004F3205"/>
    <w:rsid w:val="004F5625"/>
    <w:rsid w:val="00504791"/>
    <w:rsid w:val="00513FE6"/>
    <w:rsid w:val="00522334"/>
    <w:rsid w:val="00544392"/>
    <w:rsid w:val="00551A83"/>
    <w:rsid w:val="00554E9E"/>
    <w:rsid w:val="00561831"/>
    <w:rsid w:val="005622AE"/>
    <w:rsid w:val="00565917"/>
    <w:rsid w:val="0056771C"/>
    <w:rsid w:val="005767E8"/>
    <w:rsid w:val="00581329"/>
    <w:rsid w:val="0059681E"/>
    <w:rsid w:val="005A7545"/>
    <w:rsid w:val="005B03D9"/>
    <w:rsid w:val="005B5843"/>
    <w:rsid w:val="005C236C"/>
    <w:rsid w:val="005C5334"/>
    <w:rsid w:val="005D3222"/>
    <w:rsid w:val="005D6248"/>
    <w:rsid w:val="005D6A18"/>
    <w:rsid w:val="005E02A2"/>
    <w:rsid w:val="005E563E"/>
    <w:rsid w:val="005F5E4F"/>
    <w:rsid w:val="005F6DD3"/>
    <w:rsid w:val="005F7AE2"/>
    <w:rsid w:val="006014C7"/>
    <w:rsid w:val="006018EB"/>
    <w:rsid w:val="006142DE"/>
    <w:rsid w:val="00614FAF"/>
    <w:rsid w:val="006154A0"/>
    <w:rsid w:val="0062586E"/>
    <w:rsid w:val="00653EBA"/>
    <w:rsid w:val="0065515C"/>
    <w:rsid w:val="00657799"/>
    <w:rsid w:val="00691893"/>
    <w:rsid w:val="00693904"/>
    <w:rsid w:val="00693B90"/>
    <w:rsid w:val="00696F31"/>
    <w:rsid w:val="006A2159"/>
    <w:rsid w:val="006A2770"/>
    <w:rsid w:val="006B0033"/>
    <w:rsid w:val="006B5AF4"/>
    <w:rsid w:val="006D2920"/>
    <w:rsid w:val="006D55D8"/>
    <w:rsid w:val="006D60A6"/>
    <w:rsid w:val="006D622B"/>
    <w:rsid w:val="006E53ED"/>
    <w:rsid w:val="006F6F47"/>
    <w:rsid w:val="006F7660"/>
    <w:rsid w:val="00700811"/>
    <w:rsid w:val="00704443"/>
    <w:rsid w:val="00707899"/>
    <w:rsid w:val="0071043E"/>
    <w:rsid w:val="00725242"/>
    <w:rsid w:val="00735618"/>
    <w:rsid w:val="00740034"/>
    <w:rsid w:val="00741254"/>
    <w:rsid w:val="00742F6C"/>
    <w:rsid w:val="00744198"/>
    <w:rsid w:val="0077221F"/>
    <w:rsid w:val="00773FA5"/>
    <w:rsid w:val="00776DB1"/>
    <w:rsid w:val="007779F4"/>
    <w:rsid w:val="0078453B"/>
    <w:rsid w:val="00785243"/>
    <w:rsid w:val="007915F7"/>
    <w:rsid w:val="007B51A2"/>
    <w:rsid w:val="00805AF6"/>
    <w:rsid w:val="00812EFE"/>
    <w:rsid w:val="00815974"/>
    <w:rsid w:val="008166E3"/>
    <w:rsid w:val="00820C64"/>
    <w:rsid w:val="008356BE"/>
    <w:rsid w:val="00835AC6"/>
    <w:rsid w:val="0084109F"/>
    <w:rsid w:val="008469A5"/>
    <w:rsid w:val="00847778"/>
    <w:rsid w:val="0085025B"/>
    <w:rsid w:val="00854C2D"/>
    <w:rsid w:val="0086072C"/>
    <w:rsid w:val="008633AB"/>
    <w:rsid w:val="00875657"/>
    <w:rsid w:val="00875C17"/>
    <w:rsid w:val="008770B8"/>
    <w:rsid w:val="008857CE"/>
    <w:rsid w:val="00896E58"/>
    <w:rsid w:val="008B2465"/>
    <w:rsid w:val="008B7A83"/>
    <w:rsid w:val="008C1A26"/>
    <w:rsid w:val="008D4AA3"/>
    <w:rsid w:val="0090005E"/>
    <w:rsid w:val="00901D93"/>
    <w:rsid w:val="009028E9"/>
    <w:rsid w:val="00904A73"/>
    <w:rsid w:val="009331DB"/>
    <w:rsid w:val="00937AB7"/>
    <w:rsid w:val="00940D2D"/>
    <w:rsid w:val="00950795"/>
    <w:rsid w:val="00960D7A"/>
    <w:rsid w:val="00964570"/>
    <w:rsid w:val="00967529"/>
    <w:rsid w:val="00967C42"/>
    <w:rsid w:val="009728FA"/>
    <w:rsid w:val="00986B7E"/>
    <w:rsid w:val="00991B41"/>
    <w:rsid w:val="00992D7B"/>
    <w:rsid w:val="00993DF0"/>
    <w:rsid w:val="009B02A3"/>
    <w:rsid w:val="009B7D21"/>
    <w:rsid w:val="009C5C0C"/>
    <w:rsid w:val="009D2DF8"/>
    <w:rsid w:val="009D6467"/>
    <w:rsid w:val="009E30CB"/>
    <w:rsid w:val="009E44DA"/>
    <w:rsid w:val="009E467E"/>
    <w:rsid w:val="009E4EB7"/>
    <w:rsid w:val="009E6E7D"/>
    <w:rsid w:val="00A10867"/>
    <w:rsid w:val="00A12F95"/>
    <w:rsid w:val="00A32706"/>
    <w:rsid w:val="00A44322"/>
    <w:rsid w:val="00A52041"/>
    <w:rsid w:val="00A54022"/>
    <w:rsid w:val="00A54769"/>
    <w:rsid w:val="00A631F0"/>
    <w:rsid w:val="00A7662D"/>
    <w:rsid w:val="00A81A27"/>
    <w:rsid w:val="00A843E0"/>
    <w:rsid w:val="00AA6020"/>
    <w:rsid w:val="00AB1F1F"/>
    <w:rsid w:val="00AB52F1"/>
    <w:rsid w:val="00AC730F"/>
    <w:rsid w:val="00AC7458"/>
    <w:rsid w:val="00AC7741"/>
    <w:rsid w:val="00AE7E2D"/>
    <w:rsid w:val="00AF145A"/>
    <w:rsid w:val="00AF44E7"/>
    <w:rsid w:val="00AF6D05"/>
    <w:rsid w:val="00B01597"/>
    <w:rsid w:val="00B03CE7"/>
    <w:rsid w:val="00B07DA1"/>
    <w:rsid w:val="00B118C6"/>
    <w:rsid w:val="00B1440B"/>
    <w:rsid w:val="00B14770"/>
    <w:rsid w:val="00B20B2A"/>
    <w:rsid w:val="00B21C11"/>
    <w:rsid w:val="00B23E6F"/>
    <w:rsid w:val="00B31CD5"/>
    <w:rsid w:val="00B32B74"/>
    <w:rsid w:val="00B34E48"/>
    <w:rsid w:val="00B40CFD"/>
    <w:rsid w:val="00B44DB3"/>
    <w:rsid w:val="00B47EAF"/>
    <w:rsid w:val="00B62C85"/>
    <w:rsid w:val="00B717B0"/>
    <w:rsid w:val="00B76B32"/>
    <w:rsid w:val="00B815E6"/>
    <w:rsid w:val="00B8215D"/>
    <w:rsid w:val="00B93B78"/>
    <w:rsid w:val="00B93D04"/>
    <w:rsid w:val="00B94748"/>
    <w:rsid w:val="00B94EC5"/>
    <w:rsid w:val="00B960A4"/>
    <w:rsid w:val="00BA2A2C"/>
    <w:rsid w:val="00BC7F66"/>
    <w:rsid w:val="00BD425E"/>
    <w:rsid w:val="00BD775C"/>
    <w:rsid w:val="00BE5C22"/>
    <w:rsid w:val="00BF15EF"/>
    <w:rsid w:val="00BF27C8"/>
    <w:rsid w:val="00BF6F7F"/>
    <w:rsid w:val="00C013FF"/>
    <w:rsid w:val="00C03E53"/>
    <w:rsid w:val="00C0612A"/>
    <w:rsid w:val="00C224A6"/>
    <w:rsid w:val="00C2765B"/>
    <w:rsid w:val="00C35E83"/>
    <w:rsid w:val="00C43F8E"/>
    <w:rsid w:val="00C464B7"/>
    <w:rsid w:val="00C52869"/>
    <w:rsid w:val="00C60BB7"/>
    <w:rsid w:val="00C7246F"/>
    <w:rsid w:val="00C7437D"/>
    <w:rsid w:val="00C74E68"/>
    <w:rsid w:val="00C77434"/>
    <w:rsid w:val="00C85ACF"/>
    <w:rsid w:val="00C86CBA"/>
    <w:rsid w:val="00C91A1B"/>
    <w:rsid w:val="00CA4C04"/>
    <w:rsid w:val="00CB322C"/>
    <w:rsid w:val="00CC0B26"/>
    <w:rsid w:val="00CC5D13"/>
    <w:rsid w:val="00CC6D9F"/>
    <w:rsid w:val="00CC736F"/>
    <w:rsid w:val="00CD0862"/>
    <w:rsid w:val="00CD2480"/>
    <w:rsid w:val="00CD5B14"/>
    <w:rsid w:val="00CF0688"/>
    <w:rsid w:val="00CF3133"/>
    <w:rsid w:val="00D03FB7"/>
    <w:rsid w:val="00D0665A"/>
    <w:rsid w:val="00D1204B"/>
    <w:rsid w:val="00D14989"/>
    <w:rsid w:val="00D27F3E"/>
    <w:rsid w:val="00D31197"/>
    <w:rsid w:val="00D41F69"/>
    <w:rsid w:val="00D4205E"/>
    <w:rsid w:val="00D45C0D"/>
    <w:rsid w:val="00D460BD"/>
    <w:rsid w:val="00D468C7"/>
    <w:rsid w:val="00D47D06"/>
    <w:rsid w:val="00D5084F"/>
    <w:rsid w:val="00D51F27"/>
    <w:rsid w:val="00D74159"/>
    <w:rsid w:val="00D7535D"/>
    <w:rsid w:val="00D8337C"/>
    <w:rsid w:val="00D85C22"/>
    <w:rsid w:val="00D93BC2"/>
    <w:rsid w:val="00D95CBA"/>
    <w:rsid w:val="00DB60FB"/>
    <w:rsid w:val="00DC01DE"/>
    <w:rsid w:val="00DC2148"/>
    <w:rsid w:val="00DC42D7"/>
    <w:rsid w:val="00DC54A6"/>
    <w:rsid w:val="00DF2486"/>
    <w:rsid w:val="00DF5F0C"/>
    <w:rsid w:val="00E052D1"/>
    <w:rsid w:val="00E061CE"/>
    <w:rsid w:val="00E06687"/>
    <w:rsid w:val="00E11DDE"/>
    <w:rsid w:val="00E222E9"/>
    <w:rsid w:val="00E24EDE"/>
    <w:rsid w:val="00E26352"/>
    <w:rsid w:val="00E32A7A"/>
    <w:rsid w:val="00E355AE"/>
    <w:rsid w:val="00E40C73"/>
    <w:rsid w:val="00E40DF4"/>
    <w:rsid w:val="00E44F01"/>
    <w:rsid w:val="00E52D4B"/>
    <w:rsid w:val="00E54F2D"/>
    <w:rsid w:val="00E56C19"/>
    <w:rsid w:val="00E63717"/>
    <w:rsid w:val="00E707D8"/>
    <w:rsid w:val="00E819DD"/>
    <w:rsid w:val="00E823DD"/>
    <w:rsid w:val="00E85ACC"/>
    <w:rsid w:val="00E91B03"/>
    <w:rsid w:val="00EA4A5A"/>
    <w:rsid w:val="00EB2200"/>
    <w:rsid w:val="00EC126E"/>
    <w:rsid w:val="00EC1811"/>
    <w:rsid w:val="00EC53A6"/>
    <w:rsid w:val="00EC6A06"/>
    <w:rsid w:val="00ED3A14"/>
    <w:rsid w:val="00EE2145"/>
    <w:rsid w:val="00EF50DC"/>
    <w:rsid w:val="00EF7B6A"/>
    <w:rsid w:val="00F00C60"/>
    <w:rsid w:val="00F00F37"/>
    <w:rsid w:val="00F0123D"/>
    <w:rsid w:val="00F05CA1"/>
    <w:rsid w:val="00F1389D"/>
    <w:rsid w:val="00F225E8"/>
    <w:rsid w:val="00F2270B"/>
    <w:rsid w:val="00F304B3"/>
    <w:rsid w:val="00F34B6B"/>
    <w:rsid w:val="00F42452"/>
    <w:rsid w:val="00F44D2C"/>
    <w:rsid w:val="00F50B34"/>
    <w:rsid w:val="00F51310"/>
    <w:rsid w:val="00F519FA"/>
    <w:rsid w:val="00F528A2"/>
    <w:rsid w:val="00F6078B"/>
    <w:rsid w:val="00F9099D"/>
    <w:rsid w:val="00FB538D"/>
    <w:rsid w:val="00FC1317"/>
    <w:rsid w:val="00FD50AC"/>
    <w:rsid w:val="00FE2E99"/>
    <w:rsid w:val="00FE5F61"/>
    <w:rsid w:val="00FE6882"/>
    <w:rsid w:val="00FF2E91"/>
    <w:rsid w:val="00FF61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8DC9B9A"/>
  <w15:docId w15:val="{DFD55742-2A87-46E2-985B-45CD95E01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paragraph" w:styleId="Nadpis1">
    <w:name w:val="heading 1"/>
    <w:basedOn w:val="Normln"/>
    <w:next w:val="Normln"/>
    <w:qFormat/>
    <w:rsid w:val="00DF5F0C"/>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522334"/>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44585F"/>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3B0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semiHidden/>
    <w:rsid w:val="00964570"/>
  </w:style>
  <w:style w:type="paragraph" w:styleId="Obsah3">
    <w:name w:val="toc 3"/>
    <w:basedOn w:val="Normln"/>
    <w:next w:val="Normln"/>
    <w:autoRedefine/>
    <w:semiHidden/>
    <w:rsid w:val="00964570"/>
    <w:pPr>
      <w:ind w:left="480"/>
    </w:pPr>
  </w:style>
  <w:style w:type="paragraph" w:styleId="Obsah2">
    <w:name w:val="toc 2"/>
    <w:basedOn w:val="Normln"/>
    <w:next w:val="Normln"/>
    <w:autoRedefine/>
    <w:semiHidden/>
    <w:rsid w:val="00964570"/>
    <w:pPr>
      <w:ind w:left="240"/>
    </w:pPr>
  </w:style>
  <w:style w:type="character" w:styleId="Hypertextovodkaz">
    <w:name w:val="Hyperlink"/>
    <w:rsid w:val="00964570"/>
    <w:rPr>
      <w:color w:val="0000FF"/>
      <w:u w:val="single"/>
    </w:rPr>
  </w:style>
  <w:style w:type="character" w:styleId="Odkaznakoment">
    <w:name w:val="annotation reference"/>
    <w:semiHidden/>
    <w:rsid w:val="00E32A7A"/>
    <w:rPr>
      <w:sz w:val="16"/>
      <w:szCs w:val="16"/>
    </w:rPr>
  </w:style>
  <w:style w:type="paragraph" w:styleId="Textkomente">
    <w:name w:val="annotation text"/>
    <w:basedOn w:val="Normln"/>
    <w:semiHidden/>
    <w:rsid w:val="00E32A7A"/>
    <w:rPr>
      <w:sz w:val="20"/>
      <w:szCs w:val="20"/>
    </w:rPr>
  </w:style>
  <w:style w:type="paragraph" w:styleId="Pedmtkomente">
    <w:name w:val="annotation subject"/>
    <w:basedOn w:val="Textkomente"/>
    <w:next w:val="Textkomente"/>
    <w:semiHidden/>
    <w:rsid w:val="00E32A7A"/>
    <w:rPr>
      <w:b/>
      <w:bCs/>
    </w:rPr>
  </w:style>
  <w:style w:type="paragraph" w:styleId="Textbubliny">
    <w:name w:val="Balloon Text"/>
    <w:basedOn w:val="Normln"/>
    <w:semiHidden/>
    <w:rsid w:val="00E32A7A"/>
    <w:rPr>
      <w:rFonts w:ascii="Tahoma" w:hAnsi="Tahoma" w:cs="Tahoma"/>
      <w:sz w:val="16"/>
      <w:szCs w:val="16"/>
    </w:rPr>
  </w:style>
  <w:style w:type="character" w:styleId="Sledovanodkaz">
    <w:name w:val="FollowedHyperlink"/>
    <w:rsid w:val="00401369"/>
    <w:rPr>
      <w:color w:val="800080"/>
      <w:u w:val="single"/>
    </w:rPr>
  </w:style>
  <w:style w:type="character" w:customStyle="1" w:styleId="apple-converted-space">
    <w:name w:val="apple-converted-space"/>
    <w:basedOn w:val="Standardnpsmoodstavce"/>
    <w:rsid w:val="003F7587"/>
  </w:style>
  <w:style w:type="character" w:styleId="Zdraznn">
    <w:name w:val="Emphasis"/>
    <w:uiPriority w:val="20"/>
    <w:qFormat/>
    <w:rsid w:val="006A2770"/>
    <w:rPr>
      <w:i/>
      <w:iCs/>
    </w:rPr>
  </w:style>
  <w:style w:type="character" w:styleId="Zstupntext">
    <w:name w:val="Placeholder Text"/>
    <w:basedOn w:val="Standardnpsmoodstavce"/>
    <w:uiPriority w:val="99"/>
    <w:semiHidden/>
    <w:rsid w:val="00C0612A"/>
    <w:rPr>
      <w:color w:val="666666"/>
    </w:rPr>
  </w:style>
  <w:style w:type="character" w:styleId="Nevyeenzmnka">
    <w:name w:val="Unresolved Mention"/>
    <w:basedOn w:val="Standardnpsmoodstavce"/>
    <w:uiPriority w:val="99"/>
    <w:semiHidden/>
    <w:unhideWhenUsed/>
    <w:rsid w:val="001667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29332">
      <w:bodyDiv w:val="1"/>
      <w:marLeft w:val="0"/>
      <w:marRight w:val="0"/>
      <w:marTop w:val="0"/>
      <w:marBottom w:val="0"/>
      <w:divBdr>
        <w:top w:val="none" w:sz="0" w:space="0" w:color="auto"/>
        <w:left w:val="none" w:sz="0" w:space="0" w:color="auto"/>
        <w:bottom w:val="none" w:sz="0" w:space="0" w:color="auto"/>
        <w:right w:val="none" w:sz="0" w:space="0" w:color="auto"/>
      </w:divBdr>
    </w:div>
    <w:div w:id="482937629">
      <w:bodyDiv w:val="1"/>
      <w:marLeft w:val="0"/>
      <w:marRight w:val="0"/>
      <w:marTop w:val="0"/>
      <w:marBottom w:val="0"/>
      <w:divBdr>
        <w:top w:val="none" w:sz="0" w:space="0" w:color="auto"/>
        <w:left w:val="none" w:sz="0" w:space="0" w:color="auto"/>
        <w:bottom w:val="none" w:sz="0" w:space="0" w:color="auto"/>
        <w:right w:val="none" w:sz="0" w:space="0" w:color="auto"/>
      </w:divBdr>
    </w:div>
    <w:div w:id="1105929322">
      <w:bodyDiv w:val="1"/>
      <w:marLeft w:val="0"/>
      <w:marRight w:val="0"/>
      <w:marTop w:val="0"/>
      <w:marBottom w:val="0"/>
      <w:divBdr>
        <w:top w:val="none" w:sz="0" w:space="0" w:color="auto"/>
        <w:left w:val="none" w:sz="0" w:space="0" w:color="auto"/>
        <w:bottom w:val="none" w:sz="0" w:space="0" w:color="auto"/>
        <w:right w:val="none" w:sz="0" w:space="0" w:color="auto"/>
      </w:divBdr>
    </w:div>
    <w:div w:id="1522745542">
      <w:bodyDiv w:val="1"/>
      <w:marLeft w:val="0"/>
      <w:marRight w:val="0"/>
      <w:marTop w:val="0"/>
      <w:marBottom w:val="0"/>
      <w:divBdr>
        <w:top w:val="none" w:sz="0" w:space="0" w:color="auto"/>
        <w:left w:val="none" w:sz="0" w:space="0" w:color="auto"/>
        <w:bottom w:val="none" w:sz="0" w:space="0" w:color="auto"/>
        <w:right w:val="none" w:sz="0" w:space="0" w:color="auto"/>
      </w:divBdr>
    </w:div>
    <w:div w:id="162804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artemis.osu.cz/mmfyz/am/am_2_1_1.htm"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cs.wikipedia.org/wiki/Soubor:D-t-fusion.png"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hyperphysics.phy-astr.gsu.edu/HBASE/FrHz.html" TargetMode="External"/><Relationship Id="rId11" Type="http://schemas.openxmlformats.org/officeDocument/2006/relationships/image" Target="media/image5.jpeg"/><Relationship Id="rId24" Type="http://schemas.openxmlformats.org/officeDocument/2006/relationships/hyperlink" Target="https://www.google.com/search?q=bubble+chamber+photo" TargetMode="External"/><Relationship Id="rId5" Type="http://schemas.openxmlformats.org/officeDocument/2006/relationships/hyperlink" Target="http://cs.wikipedia.org/wiki/Compton%C5%AFv_jev" TargetMode="External"/><Relationship Id="rId15" Type="http://schemas.openxmlformats.org/officeDocument/2006/relationships/image" Target="media/image9.png"/><Relationship Id="rId23" Type="http://schemas.openxmlformats.org/officeDocument/2006/relationships/image" Target="http://upload.wikimedia.org/wikipedia/commons/thumb/a/aa/D-t-fusion.png/250px-D-t-fusion.png"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4072</Words>
  <Characters>24677</Characters>
  <Application>Microsoft Office Word</Application>
  <DocSecurity>4</DocSecurity>
  <Lines>205</Lines>
  <Paragraphs>57</Paragraphs>
  <ScaleCrop>false</ScaleCrop>
  <HeadingPairs>
    <vt:vector size="2" baseType="variant">
      <vt:variant>
        <vt:lpstr>Název</vt:lpstr>
      </vt:variant>
      <vt:variant>
        <vt:i4>1</vt:i4>
      </vt:variant>
    </vt:vector>
  </HeadingPairs>
  <TitlesOfParts>
    <vt:vector size="1" baseType="lpstr">
      <vt:lpstr>4</vt:lpstr>
    </vt:vector>
  </TitlesOfParts>
  <Company>gvp</Company>
  <LinksUpToDate>false</LinksUpToDate>
  <CharactersWithSpaces>28692</CharactersWithSpaces>
  <SharedDoc>false</SharedDoc>
  <HLinks>
    <vt:vector size="42" baseType="variant">
      <vt:variant>
        <vt:i4>3080233</vt:i4>
      </vt:variant>
      <vt:variant>
        <vt:i4>201</vt:i4>
      </vt:variant>
      <vt:variant>
        <vt:i4>0</vt:i4>
      </vt:variant>
      <vt:variant>
        <vt:i4>5</vt:i4>
      </vt:variant>
      <vt:variant>
        <vt:lpwstr>http://cso.lbl.gov/photo/gallery/BubbleChamber/</vt:lpwstr>
      </vt:variant>
      <vt:variant>
        <vt:lpwstr/>
      </vt:variant>
      <vt:variant>
        <vt:i4>4456566</vt:i4>
      </vt:variant>
      <vt:variant>
        <vt:i4>63</vt:i4>
      </vt:variant>
      <vt:variant>
        <vt:i4>0</vt:i4>
      </vt:variant>
      <vt:variant>
        <vt:i4>5</vt:i4>
      </vt:variant>
      <vt:variant>
        <vt:lpwstr>http://artemis.osu.cz/mmfyz/am/am_2_1_1.htm</vt:lpwstr>
      </vt:variant>
      <vt:variant>
        <vt:lpwstr/>
      </vt:variant>
      <vt:variant>
        <vt:i4>327697</vt:i4>
      </vt:variant>
      <vt:variant>
        <vt:i4>12</vt:i4>
      </vt:variant>
      <vt:variant>
        <vt:i4>0</vt:i4>
      </vt:variant>
      <vt:variant>
        <vt:i4>5</vt:i4>
      </vt:variant>
      <vt:variant>
        <vt:lpwstr>http://hyperphysics.phy-astr.gsu.edu/HBASE/FrHz.html</vt:lpwstr>
      </vt:variant>
      <vt:variant>
        <vt:lpwstr/>
      </vt:variant>
      <vt:variant>
        <vt:i4>1507381</vt:i4>
      </vt:variant>
      <vt:variant>
        <vt:i4>6</vt:i4>
      </vt:variant>
      <vt:variant>
        <vt:i4>0</vt:i4>
      </vt:variant>
      <vt:variant>
        <vt:i4>5</vt:i4>
      </vt:variant>
      <vt:variant>
        <vt:lpwstr>http://cs.wikipedia.org/wiki/Compton%C5%AFv_jev</vt:lpwstr>
      </vt:variant>
      <vt:variant>
        <vt:lpwstr/>
      </vt:variant>
      <vt:variant>
        <vt:i4>3080317</vt:i4>
      </vt:variant>
      <vt:variant>
        <vt:i4>-1</vt:i4>
      </vt:variant>
      <vt:variant>
        <vt:i4>1044</vt:i4>
      </vt:variant>
      <vt:variant>
        <vt:i4>4</vt:i4>
      </vt:variant>
      <vt:variant>
        <vt:lpwstr>http://cs.wikipedia.org/wiki/Soubor:D-t-fusion.png</vt:lpwstr>
      </vt:variant>
      <vt:variant>
        <vt:lpwstr/>
      </vt:variant>
      <vt:variant>
        <vt:i4>917516</vt:i4>
      </vt:variant>
      <vt:variant>
        <vt:i4>-1</vt:i4>
      </vt:variant>
      <vt:variant>
        <vt:i4>1044</vt:i4>
      </vt:variant>
      <vt:variant>
        <vt:i4>1</vt:i4>
      </vt:variant>
      <vt:variant>
        <vt:lpwstr>http://upload.wikimedia.org/wikipedia/commons/thumb/a/aa/D-t-fusion.png/250px-D-t-fusion.png</vt:lpwstr>
      </vt:variant>
      <vt:variant>
        <vt:lpwstr/>
      </vt:variant>
      <vt:variant>
        <vt:i4>1900563</vt:i4>
      </vt:variant>
      <vt:variant>
        <vt:i4>-1</vt:i4>
      </vt:variant>
      <vt:variant>
        <vt:i4>1045</vt:i4>
      </vt:variant>
      <vt:variant>
        <vt:i4>1</vt:i4>
      </vt:variant>
      <vt:variant>
        <vt:lpwstr>http://outreach.atnf.csiro.au/education/senior/astrophysics/images/spectra/spectypes2.gif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creator>Administrator</dc:creator>
  <cp:lastModifiedBy>Horyna Martin</cp:lastModifiedBy>
  <cp:revision>2</cp:revision>
  <cp:lastPrinted>2008-10-05T21:09:00Z</cp:lastPrinted>
  <dcterms:created xsi:type="dcterms:W3CDTF">2024-02-19T07:59:00Z</dcterms:created>
  <dcterms:modified xsi:type="dcterms:W3CDTF">2024-02-19T07:59:00Z</dcterms:modified>
</cp:coreProperties>
</file>